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15F7" w14:textId="07D96D3D" w:rsidR="006D396C" w:rsidRPr="00584155" w:rsidRDefault="008E2B6D">
      <w:pPr>
        <w:rPr>
          <w:b/>
          <w:bCs/>
          <w:sz w:val="28"/>
          <w:szCs w:val="28"/>
        </w:rPr>
      </w:pPr>
      <w:r w:rsidRPr="008E2B6D">
        <w:rPr>
          <w:b/>
          <w:bCs/>
          <w:sz w:val="28"/>
          <w:szCs w:val="28"/>
        </w:rPr>
        <w:t xml:space="preserve">Lisa </w:t>
      </w:r>
      <w:r w:rsidR="00472DBE">
        <w:rPr>
          <w:b/>
          <w:bCs/>
          <w:sz w:val="28"/>
          <w:szCs w:val="28"/>
        </w:rPr>
        <w:t>1</w:t>
      </w:r>
      <w:r w:rsidRPr="008E2B6D">
        <w:rPr>
          <w:b/>
          <w:bCs/>
          <w:sz w:val="28"/>
          <w:szCs w:val="28"/>
        </w:rPr>
        <w:t xml:space="preserve">. </w:t>
      </w:r>
      <w:r w:rsidR="00472DBE">
        <w:rPr>
          <w:b/>
          <w:bCs/>
          <w:sz w:val="28"/>
          <w:szCs w:val="28"/>
        </w:rPr>
        <w:t xml:space="preserve">Avalikul väljapanekul </w:t>
      </w:r>
      <w:r w:rsidR="00097225">
        <w:rPr>
          <w:b/>
          <w:bCs/>
          <w:sz w:val="28"/>
          <w:szCs w:val="28"/>
        </w:rPr>
        <w:t xml:space="preserve">Sõõrikese detailplaneeringu eskiisile ja KSH aruande eelnõule </w:t>
      </w:r>
      <w:r w:rsidR="00472DBE">
        <w:rPr>
          <w:b/>
          <w:bCs/>
          <w:sz w:val="28"/>
          <w:szCs w:val="28"/>
        </w:rPr>
        <w:t>esitatud</w:t>
      </w:r>
      <w:r w:rsidR="00584155" w:rsidRPr="00584155">
        <w:rPr>
          <w:b/>
          <w:bCs/>
          <w:sz w:val="28"/>
          <w:szCs w:val="28"/>
        </w:rPr>
        <w:t xml:space="preserve"> </w:t>
      </w:r>
      <w:r w:rsidR="00560B64">
        <w:rPr>
          <w:b/>
          <w:bCs/>
          <w:sz w:val="28"/>
          <w:szCs w:val="28"/>
        </w:rPr>
        <w:t>ettepanekutega</w:t>
      </w:r>
      <w:r w:rsidR="00584155" w:rsidRPr="00584155">
        <w:rPr>
          <w:b/>
          <w:bCs/>
          <w:sz w:val="28"/>
          <w:szCs w:val="28"/>
        </w:rPr>
        <w:t xml:space="preserve"> arvestamise/arvestamata jätmise kohta</w:t>
      </w:r>
    </w:p>
    <w:tbl>
      <w:tblPr>
        <w:tblStyle w:val="TableGrid"/>
        <w:tblW w:w="13659" w:type="dxa"/>
        <w:tblInd w:w="-714" w:type="dxa"/>
        <w:tblLook w:val="04A0" w:firstRow="1" w:lastRow="0" w:firstColumn="1" w:lastColumn="0" w:noHBand="0" w:noVBand="1"/>
      </w:tblPr>
      <w:tblGrid>
        <w:gridCol w:w="1025"/>
        <w:gridCol w:w="2231"/>
        <w:gridCol w:w="5382"/>
        <w:gridCol w:w="5021"/>
      </w:tblGrid>
      <w:tr w:rsidR="00A87368" w:rsidRPr="00584155" w14:paraId="047C75B9" w14:textId="77777777" w:rsidTr="005A1643">
        <w:tc>
          <w:tcPr>
            <w:tcW w:w="1025" w:type="dxa"/>
          </w:tcPr>
          <w:p w14:paraId="099F740A" w14:textId="0B832964" w:rsidR="00A87368" w:rsidRPr="00584155" w:rsidRDefault="00A87368" w:rsidP="00852D0F">
            <w:pPr>
              <w:rPr>
                <w:rFonts w:cstheme="minorHAnsi"/>
                <w:b/>
                <w:bCs/>
              </w:rPr>
            </w:pPr>
            <w:r w:rsidRPr="00584155">
              <w:rPr>
                <w:rFonts w:cstheme="minorHAnsi"/>
                <w:b/>
                <w:bCs/>
              </w:rPr>
              <w:t>Jrk</w:t>
            </w:r>
          </w:p>
        </w:tc>
        <w:tc>
          <w:tcPr>
            <w:tcW w:w="2231" w:type="dxa"/>
          </w:tcPr>
          <w:p w14:paraId="5A39F87F" w14:textId="77777777" w:rsidR="00691FD9" w:rsidRPr="00691FD9" w:rsidRDefault="00691FD9" w:rsidP="00691FD9">
            <w:pPr>
              <w:jc w:val="both"/>
              <w:rPr>
                <w:b/>
                <w:bCs/>
              </w:rPr>
            </w:pPr>
            <w:r w:rsidRPr="00691FD9">
              <w:rPr>
                <w:b/>
                <w:bCs/>
              </w:rPr>
              <w:t>7.2/405-16</w:t>
            </w:r>
          </w:p>
          <w:p w14:paraId="434FFE63" w14:textId="77777777" w:rsidR="00A87368" w:rsidRDefault="00A87368" w:rsidP="00852D0F">
            <w:pPr>
              <w:rPr>
                <w:rFonts w:cstheme="minorHAnsi"/>
                <w:b/>
                <w:bCs/>
              </w:rPr>
            </w:pPr>
          </w:p>
        </w:tc>
        <w:tc>
          <w:tcPr>
            <w:tcW w:w="5382" w:type="dxa"/>
          </w:tcPr>
          <w:p w14:paraId="45336023" w14:textId="6CE25E7E" w:rsidR="00A87368" w:rsidRPr="00584155" w:rsidRDefault="00A87368" w:rsidP="00852D0F">
            <w:pPr>
              <w:rPr>
                <w:rFonts w:cstheme="minorHAnsi"/>
                <w:b/>
                <w:bCs/>
              </w:rPr>
            </w:pPr>
            <w:r>
              <w:rPr>
                <w:rFonts w:cstheme="minorHAnsi"/>
                <w:b/>
                <w:bCs/>
              </w:rPr>
              <w:t>Põllumajandus- ja Toiduamet</w:t>
            </w:r>
          </w:p>
        </w:tc>
        <w:tc>
          <w:tcPr>
            <w:tcW w:w="5021" w:type="dxa"/>
          </w:tcPr>
          <w:p w14:paraId="5EFBFF42" w14:textId="561119BF" w:rsidR="00A87368" w:rsidRPr="00584155" w:rsidRDefault="00A87368" w:rsidP="00852D0F">
            <w:pPr>
              <w:rPr>
                <w:rFonts w:cstheme="minorHAnsi"/>
                <w:b/>
                <w:bCs/>
              </w:rPr>
            </w:pPr>
            <w:r w:rsidRPr="00584155">
              <w:rPr>
                <w:rFonts w:cstheme="minorHAnsi"/>
                <w:b/>
                <w:bCs/>
              </w:rPr>
              <w:t>Seisukohaga arvestamine/arvestamata jätmine</w:t>
            </w:r>
          </w:p>
        </w:tc>
      </w:tr>
      <w:tr w:rsidR="00A87368" w:rsidRPr="00584155" w14:paraId="28BE2847" w14:textId="77777777" w:rsidTr="005A1643">
        <w:tc>
          <w:tcPr>
            <w:tcW w:w="1025" w:type="dxa"/>
          </w:tcPr>
          <w:p w14:paraId="35BCFF84" w14:textId="48FD11B3" w:rsidR="00A87368" w:rsidRPr="00584155" w:rsidRDefault="00A87368" w:rsidP="00852D0F">
            <w:pPr>
              <w:rPr>
                <w:rFonts w:cstheme="minorHAnsi"/>
              </w:rPr>
            </w:pPr>
            <w:r w:rsidRPr="00584155">
              <w:rPr>
                <w:rFonts w:cstheme="minorHAnsi"/>
              </w:rPr>
              <w:t>1</w:t>
            </w:r>
          </w:p>
        </w:tc>
        <w:tc>
          <w:tcPr>
            <w:tcW w:w="2231" w:type="dxa"/>
          </w:tcPr>
          <w:p w14:paraId="77E25007" w14:textId="7E026D85" w:rsidR="00623D22" w:rsidRPr="00097225" w:rsidRDefault="00623D22" w:rsidP="00097225">
            <w:pPr>
              <w:jc w:val="both"/>
            </w:pPr>
            <w:r>
              <w:t>03.04.2024 nr 6.2-6/1596-1</w:t>
            </w:r>
          </w:p>
        </w:tc>
        <w:tc>
          <w:tcPr>
            <w:tcW w:w="5382" w:type="dxa"/>
          </w:tcPr>
          <w:p w14:paraId="356BCC40" w14:textId="6EDEE41E" w:rsidR="00A87368" w:rsidRPr="00D51B83" w:rsidRDefault="00A87368" w:rsidP="00097225">
            <w:pPr>
              <w:jc w:val="both"/>
            </w:pPr>
            <w:r w:rsidRPr="00097225">
              <w:t xml:space="preserve">Põllumajandus ja Toiduamet esitab alljärgnevad märkused eskiislahenduse põhijoonise osas lähtuvalt </w:t>
            </w:r>
            <w:r w:rsidRPr="00D51B83">
              <w:t>Maaparandusseadusest tulenevate nõuetega.</w:t>
            </w:r>
          </w:p>
          <w:p w14:paraId="350D9E38" w14:textId="77777777" w:rsidR="00A87368" w:rsidRPr="00D51B83" w:rsidRDefault="00A87368" w:rsidP="00097225">
            <w:pPr>
              <w:jc w:val="both"/>
            </w:pPr>
          </w:p>
          <w:p w14:paraId="015F26FD" w14:textId="28580130" w:rsidR="00A87368" w:rsidRPr="00D51B83" w:rsidRDefault="00A87368" w:rsidP="00097225">
            <w:pPr>
              <w:pStyle w:val="ListParagraph"/>
              <w:numPr>
                <w:ilvl w:val="0"/>
                <w:numId w:val="3"/>
              </w:numPr>
              <w:jc w:val="both"/>
            </w:pPr>
            <w:r w:rsidRPr="00D51B83">
              <w:t>Planeeritav tegevus toimub maaparandusehitise maa-alal, puudub viide maaparandusalale ja süsteemi nimetusele ja numbritele.</w:t>
            </w:r>
          </w:p>
          <w:p w14:paraId="2D525DE7" w14:textId="6953B443" w:rsidR="00A87368" w:rsidRPr="00D51B83" w:rsidRDefault="00A87368" w:rsidP="00097225">
            <w:pPr>
              <w:pStyle w:val="ListParagraph"/>
              <w:numPr>
                <w:ilvl w:val="0"/>
                <w:numId w:val="3"/>
              </w:numPr>
              <w:jc w:val="both"/>
            </w:pPr>
            <w:r w:rsidRPr="00D51B83">
              <w:t>Planeeritavad hooned, rajatised on planeeritud reguleerivavõrgu (drenaaži) peale, puuduvad tähised drenaažisüsteemide likvideerimise osas.</w:t>
            </w:r>
          </w:p>
          <w:p w14:paraId="250E23B7" w14:textId="24236F83" w:rsidR="00A87368" w:rsidRPr="00D51B83" w:rsidRDefault="00A87368" w:rsidP="00097225">
            <w:pPr>
              <w:pStyle w:val="ListParagraph"/>
              <w:numPr>
                <w:ilvl w:val="0"/>
                <w:numId w:val="3"/>
              </w:numPr>
              <w:jc w:val="both"/>
            </w:pPr>
            <w:r w:rsidRPr="00D51B83">
              <w:t>Planeeritav ala on seotud piirnevate reguleeritavavõrgu alaga, puudub tehnilise lahenduse kirjeldus piirneva ala jätkuvaks toimimiseks.</w:t>
            </w:r>
          </w:p>
          <w:p w14:paraId="50090D6B" w14:textId="77777777" w:rsidR="00A87368" w:rsidRPr="00D51B83" w:rsidRDefault="00A87368" w:rsidP="00097225">
            <w:pPr>
              <w:jc w:val="both"/>
            </w:pPr>
          </w:p>
          <w:p w14:paraId="3B26B65A" w14:textId="77777777" w:rsidR="00A87368" w:rsidRDefault="00A87368" w:rsidP="00097225">
            <w:pPr>
              <w:jc w:val="both"/>
            </w:pPr>
            <w:r w:rsidRPr="00D51B83">
              <w:t>Sõõrike farmi detailplaneering, eskiis töö</w:t>
            </w:r>
            <w:r w:rsidRPr="00097225">
              <w:t xml:space="preserve"> nr 21004131 seletuskiri ptk 5.7 Maaparandus on väljatoodud maaparandusalal tegutsemise alused. Vajalik lisada ptk teksti viide maaparandussüsteemi rekonstrueerimisel taotleda projekteerimistingimused Põllumajandus</w:t>
            </w:r>
            <w:r>
              <w:t>-</w:t>
            </w:r>
            <w:r w:rsidRPr="00097225">
              <w:t xml:space="preserve"> ja Toiduametilt rekonstrueeritavale alale, rekonstrueerimistööd teha eelnevalt farmikompleksi laiendamisel, Maaparandusseadus §51. </w:t>
            </w:r>
          </w:p>
          <w:p w14:paraId="29FA974F" w14:textId="77777777" w:rsidR="00A87368" w:rsidRDefault="00A87368" w:rsidP="00097225">
            <w:pPr>
              <w:jc w:val="both"/>
            </w:pPr>
          </w:p>
          <w:p w14:paraId="2EA34578" w14:textId="572E658C" w:rsidR="00A87368" w:rsidRPr="00584155" w:rsidRDefault="00A87368" w:rsidP="00097225">
            <w:pPr>
              <w:jc w:val="both"/>
            </w:pPr>
            <w:r w:rsidRPr="00097225">
              <w:t>Planeeringu lähteseisukohtade p 4.1 kohaselt tuleb kruntide planeerimisel koostöös Põllumajandus- ja Toiduametiga kavandada maaparandusehitiste</w:t>
            </w:r>
            <w:r>
              <w:t xml:space="preserve"> </w:t>
            </w:r>
            <w:r w:rsidRPr="00097225">
              <w:t xml:space="preserve">ümberehitamine nii, et planeeritavate ehitiste aluselt </w:t>
            </w:r>
            <w:r w:rsidRPr="00097225">
              <w:lastRenderedPageBreak/>
              <w:t>maalt maaparandusehitiste likvideerimise korral jäävad ülejäänud maaparandusehitised nõuetekohaselt toimima.</w:t>
            </w:r>
          </w:p>
        </w:tc>
        <w:tc>
          <w:tcPr>
            <w:tcW w:w="5021" w:type="dxa"/>
          </w:tcPr>
          <w:p w14:paraId="48ACD041" w14:textId="6407C2C6" w:rsidR="00A87368" w:rsidRPr="00584155" w:rsidRDefault="00A87368" w:rsidP="023B75A4">
            <w:r>
              <w:lastRenderedPageBreak/>
              <w:t>Eskiislahendust ja seletuskirja täiendatakse.</w:t>
            </w:r>
          </w:p>
        </w:tc>
      </w:tr>
      <w:tr w:rsidR="00A87368" w:rsidRPr="00584155" w14:paraId="3D273C19" w14:textId="77777777" w:rsidTr="005A1643">
        <w:tc>
          <w:tcPr>
            <w:tcW w:w="1025" w:type="dxa"/>
          </w:tcPr>
          <w:p w14:paraId="1BA0E8D9" w14:textId="1DEABEC8" w:rsidR="00A87368" w:rsidRDefault="00A87368" w:rsidP="009F6031">
            <w:pPr>
              <w:rPr>
                <w:rFonts w:cstheme="minorHAnsi"/>
              </w:rPr>
            </w:pPr>
            <w:r w:rsidRPr="00584155">
              <w:rPr>
                <w:rFonts w:cstheme="minorHAnsi"/>
                <w:b/>
                <w:bCs/>
              </w:rPr>
              <w:t>Jrk</w:t>
            </w:r>
          </w:p>
        </w:tc>
        <w:tc>
          <w:tcPr>
            <w:tcW w:w="2231" w:type="dxa"/>
          </w:tcPr>
          <w:p w14:paraId="1F52682C" w14:textId="77777777" w:rsidR="005A1643" w:rsidRPr="00691FD9" w:rsidRDefault="005A1643" w:rsidP="005A1643">
            <w:pPr>
              <w:autoSpaceDE w:val="0"/>
              <w:autoSpaceDN w:val="0"/>
              <w:adjustRightInd w:val="0"/>
              <w:jc w:val="both"/>
              <w:rPr>
                <w:rFonts w:cstheme="minorHAnsi"/>
                <w:b/>
                <w:bCs/>
              </w:rPr>
            </w:pPr>
            <w:r w:rsidRPr="00691FD9">
              <w:rPr>
                <w:rFonts w:cstheme="minorHAnsi"/>
                <w:b/>
                <w:bCs/>
              </w:rPr>
              <w:t>7-2/405-17</w:t>
            </w:r>
          </w:p>
          <w:p w14:paraId="6706C896" w14:textId="4252C3B1" w:rsidR="00A87368" w:rsidRDefault="00A87368" w:rsidP="009F6031">
            <w:pPr>
              <w:autoSpaceDE w:val="0"/>
              <w:autoSpaceDN w:val="0"/>
              <w:adjustRightInd w:val="0"/>
              <w:jc w:val="both"/>
              <w:rPr>
                <w:rFonts w:cstheme="minorHAnsi"/>
                <w:b/>
                <w:bCs/>
              </w:rPr>
            </w:pPr>
          </w:p>
        </w:tc>
        <w:tc>
          <w:tcPr>
            <w:tcW w:w="5382" w:type="dxa"/>
          </w:tcPr>
          <w:p w14:paraId="071191FF" w14:textId="40250392" w:rsidR="00A87368" w:rsidRPr="00187DA8" w:rsidRDefault="00A87368" w:rsidP="009F6031">
            <w:pPr>
              <w:autoSpaceDE w:val="0"/>
              <w:autoSpaceDN w:val="0"/>
              <w:adjustRightInd w:val="0"/>
              <w:jc w:val="both"/>
              <w:rPr>
                <w:rFonts w:cstheme="minorHAnsi"/>
              </w:rPr>
            </w:pPr>
            <w:r>
              <w:rPr>
                <w:rFonts w:cstheme="minorHAnsi"/>
                <w:b/>
                <w:bCs/>
              </w:rPr>
              <w:t>Regionaal- ja Põllumajandusministeerium</w:t>
            </w:r>
          </w:p>
        </w:tc>
        <w:tc>
          <w:tcPr>
            <w:tcW w:w="5021" w:type="dxa"/>
          </w:tcPr>
          <w:p w14:paraId="481A89DA" w14:textId="5CA6F469" w:rsidR="00A87368" w:rsidRPr="023B75A4" w:rsidRDefault="00A87368" w:rsidP="009F6031">
            <w:pPr>
              <w:jc w:val="both"/>
            </w:pPr>
            <w:r w:rsidRPr="00584155">
              <w:rPr>
                <w:rFonts w:cstheme="minorHAnsi"/>
                <w:b/>
                <w:bCs/>
              </w:rPr>
              <w:t>Seisukohaga arvestamine/arvestamata jätmine</w:t>
            </w:r>
          </w:p>
        </w:tc>
      </w:tr>
      <w:tr w:rsidR="00A87368" w:rsidRPr="00584155" w14:paraId="7F7028E4" w14:textId="77777777" w:rsidTr="005A1643">
        <w:tc>
          <w:tcPr>
            <w:tcW w:w="1025" w:type="dxa"/>
          </w:tcPr>
          <w:p w14:paraId="15408E8D" w14:textId="3CA04B17" w:rsidR="00A87368" w:rsidRPr="00584155" w:rsidRDefault="00A87368" w:rsidP="009F6031">
            <w:pPr>
              <w:rPr>
                <w:rFonts w:cstheme="minorHAnsi"/>
              </w:rPr>
            </w:pPr>
            <w:r>
              <w:rPr>
                <w:rFonts w:cstheme="minorHAnsi"/>
              </w:rPr>
              <w:t>1</w:t>
            </w:r>
          </w:p>
        </w:tc>
        <w:tc>
          <w:tcPr>
            <w:tcW w:w="2231" w:type="dxa"/>
          </w:tcPr>
          <w:p w14:paraId="54E62917" w14:textId="7C2A2ED2" w:rsidR="00A87368" w:rsidRPr="00E07513" w:rsidRDefault="00691FD9" w:rsidP="009F6031">
            <w:pPr>
              <w:autoSpaceDE w:val="0"/>
              <w:autoSpaceDN w:val="0"/>
              <w:adjustRightInd w:val="0"/>
              <w:jc w:val="both"/>
              <w:rPr>
                <w:rFonts w:cstheme="minorHAnsi"/>
              </w:rPr>
            </w:pPr>
            <w:r>
              <w:rPr>
                <w:rFonts w:cstheme="minorHAnsi"/>
              </w:rPr>
              <w:t>03.04.2024 nr. 14-3/894-4</w:t>
            </w:r>
          </w:p>
        </w:tc>
        <w:tc>
          <w:tcPr>
            <w:tcW w:w="5382" w:type="dxa"/>
          </w:tcPr>
          <w:p w14:paraId="68A97EED" w14:textId="0A4A0673" w:rsidR="00A87368" w:rsidRPr="001042A4" w:rsidRDefault="00A87368" w:rsidP="009F6031">
            <w:pPr>
              <w:autoSpaceDE w:val="0"/>
              <w:autoSpaceDN w:val="0"/>
              <w:adjustRightInd w:val="0"/>
              <w:jc w:val="both"/>
              <w:rPr>
                <w:rFonts w:cstheme="minorHAnsi"/>
              </w:rPr>
            </w:pPr>
            <w:r w:rsidRPr="00E07513">
              <w:rPr>
                <w:rFonts w:cstheme="minorHAnsi"/>
              </w:rPr>
              <w:t>Detailplaneeringu lähteseisukohtade (leitav vallavalitsuse veebilehel) kohaselt tehakse planeeringu koostamisel koostööd Põllumajandus- ja Toiduameti, Keskkonnaameti, Transpordiameti ja Päästeametiga. Kaasatakse Regionaal- ja Põllumajandusministeerium, Elektrilevi OÜ ning isikud, kelle õigusi või huve võib detailplaneering puudutada. Lähtuvalt detailplaneeringu materjalidest, arvestades Vabariigi Valitsuse 17.12.2015 määruses nr 133 „Planeeringute koostamisel koostöö tegemise kord ja planeeringute kooskõlastamise alused“ sätestatut ja PlanS § 142 lõiget 4, määrab Regionaal- ja Põllumajandusministeerium täiendavaks koostöötegijaks Terviseameti, kuna planeeringu elluviimisega võib kaasneda ebameeldivast lõhnast tulenev keskkonnahäiring.</w:t>
            </w:r>
          </w:p>
        </w:tc>
        <w:tc>
          <w:tcPr>
            <w:tcW w:w="5021" w:type="dxa"/>
          </w:tcPr>
          <w:p w14:paraId="21773036" w14:textId="513935DC" w:rsidR="00A87368" w:rsidRDefault="00A87368" w:rsidP="009F6031">
            <w:pPr>
              <w:jc w:val="both"/>
              <w:rPr>
                <w:rFonts w:cstheme="minorHAnsi"/>
              </w:rPr>
            </w:pPr>
            <w:r>
              <w:rPr>
                <w:rFonts w:cstheme="minorHAnsi"/>
              </w:rPr>
              <w:t>KSH programmis on juba kirjas, et Terviseamet tuleb kaasata (vers</w:t>
            </w:r>
            <w:r w:rsidR="00691FD9">
              <w:rPr>
                <w:rFonts w:cstheme="minorHAnsi"/>
              </w:rPr>
              <w:t>ioon</w:t>
            </w:r>
            <w:r>
              <w:rPr>
                <w:rFonts w:cstheme="minorHAnsi"/>
              </w:rPr>
              <w:t xml:space="preserve"> 28.04.2023, Tabel 3). </w:t>
            </w:r>
          </w:p>
          <w:p w14:paraId="20FAC8E5" w14:textId="77777777" w:rsidR="00A87368" w:rsidRDefault="00A87368" w:rsidP="009F6031">
            <w:pPr>
              <w:jc w:val="both"/>
              <w:rPr>
                <w:rFonts w:cstheme="minorHAnsi"/>
              </w:rPr>
            </w:pPr>
          </w:p>
          <w:p w14:paraId="3D53867F" w14:textId="1A6740EF" w:rsidR="00A87368" w:rsidRDefault="00A87368" w:rsidP="009F6031">
            <w:pPr>
              <w:jc w:val="both"/>
              <w:rPr>
                <w:rFonts w:cstheme="minorHAnsi"/>
              </w:rPr>
            </w:pPr>
            <w:r>
              <w:rPr>
                <w:rFonts w:cstheme="minorHAnsi"/>
              </w:rPr>
              <w:t>Samuti avalikule väljapanekule esitatud KSH aruande eelnõus (vers</w:t>
            </w:r>
            <w:r w:rsidR="00691FD9">
              <w:rPr>
                <w:rFonts w:cstheme="minorHAnsi"/>
              </w:rPr>
              <w:t>ioon</w:t>
            </w:r>
            <w:r>
              <w:rPr>
                <w:rFonts w:cstheme="minorHAnsi"/>
              </w:rPr>
              <w:t xml:space="preserve"> 23.01.2024, Tabel 1.1).</w:t>
            </w:r>
          </w:p>
          <w:p w14:paraId="652AFDE3" w14:textId="2C304FD0" w:rsidR="00623D22" w:rsidRDefault="00623D22" w:rsidP="009F6031">
            <w:pPr>
              <w:jc w:val="both"/>
              <w:rPr>
                <w:rFonts w:cstheme="minorHAnsi"/>
              </w:rPr>
            </w:pPr>
            <w:r>
              <w:rPr>
                <w:rFonts w:cstheme="minorHAnsi"/>
              </w:rPr>
              <w:t xml:space="preserve">Terviseametile on saadetud </w:t>
            </w:r>
            <w:r w:rsidR="005A1643">
              <w:rPr>
                <w:rFonts w:cstheme="minorHAnsi"/>
              </w:rPr>
              <w:t>arvamuse avaldamiseks kiri 16.02.2024 kell 10.28 läbi Amphora.</w:t>
            </w:r>
          </w:p>
          <w:p w14:paraId="497743C8" w14:textId="5C69DB17" w:rsidR="00A87368" w:rsidRPr="00584155" w:rsidRDefault="00A87368" w:rsidP="009F6031">
            <w:pPr>
              <w:jc w:val="both"/>
              <w:rPr>
                <w:rFonts w:cstheme="minorHAnsi"/>
              </w:rPr>
            </w:pPr>
          </w:p>
        </w:tc>
      </w:tr>
      <w:tr w:rsidR="00A87368" w:rsidRPr="00584155" w14:paraId="0343E447" w14:textId="77777777" w:rsidTr="005A1643">
        <w:tc>
          <w:tcPr>
            <w:tcW w:w="1025" w:type="dxa"/>
          </w:tcPr>
          <w:p w14:paraId="3EF447C3" w14:textId="17B0E5A3" w:rsidR="00A87368" w:rsidRPr="00584155" w:rsidRDefault="00A87368" w:rsidP="009F6031">
            <w:pPr>
              <w:rPr>
                <w:rFonts w:cstheme="minorHAnsi"/>
              </w:rPr>
            </w:pPr>
            <w:r>
              <w:rPr>
                <w:rFonts w:cstheme="minorHAnsi"/>
              </w:rPr>
              <w:t>2</w:t>
            </w:r>
          </w:p>
        </w:tc>
        <w:tc>
          <w:tcPr>
            <w:tcW w:w="2231" w:type="dxa"/>
          </w:tcPr>
          <w:p w14:paraId="0A0EDCA3" w14:textId="77777777" w:rsidR="00A87368" w:rsidRPr="001C642B" w:rsidRDefault="00A87368" w:rsidP="009F6031">
            <w:pPr>
              <w:autoSpaceDE w:val="0"/>
              <w:autoSpaceDN w:val="0"/>
              <w:adjustRightInd w:val="0"/>
              <w:jc w:val="both"/>
              <w:rPr>
                <w:rFonts w:cstheme="minorHAnsi"/>
              </w:rPr>
            </w:pPr>
          </w:p>
        </w:tc>
        <w:tc>
          <w:tcPr>
            <w:tcW w:w="5382" w:type="dxa"/>
          </w:tcPr>
          <w:p w14:paraId="3C71DDD4" w14:textId="1CC343DB" w:rsidR="00A87368" w:rsidRPr="00B646AB" w:rsidRDefault="00A87368" w:rsidP="009F6031">
            <w:pPr>
              <w:autoSpaceDE w:val="0"/>
              <w:autoSpaceDN w:val="0"/>
              <w:adjustRightInd w:val="0"/>
              <w:jc w:val="both"/>
              <w:rPr>
                <w:rFonts w:cstheme="minorHAnsi"/>
              </w:rPr>
            </w:pPr>
            <w:r w:rsidRPr="001C642B">
              <w:rPr>
                <w:rFonts w:cstheme="minorHAnsi"/>
              </w:rPr>
              <w:t>Palume detailplaneeringu koostamisel veenduda, et kaasatud oleks kõik isikud, kelle õigusi võib detailplaneering puudutada. Palume detailplaneeringu menetlusse kaasata naaberkinnisasjade omanikke, Elering AS (planeeringualal asuvad Elering AS kõrgepinge õhuliinid) ja Airok OÜ (planeeringualale ulatub Airok OÜ viljakuivati vedelgaasipaigaldise ohuala).</w:t>
            </w:r>
          </w:p>
        </w:tc>
        <w:tc>
          <w:tcPr>
            <w:tcW w:w="5021" w:type="dxa"/>
          </w:tcPr>
          <w:p w14:paraId="4A0368EE" w14:textId="68FA49B8" w:rsidR="00A87368" w:rsidRDefault="00A87368" w:rsidP="00B27884">
            <w:pPr>
              <w:jc w:val="both"/>
            </w:pPr>
            <w:r>
              <w:t>Naaberkinnisasjade omanikud ja Elering AS on juba KSH programmi ja KSH aruande eelnõu kohaselt protsessi kaasatud.</w:t>
            </w:r>
          </w:p>
          <w:p w14:paraId="7DE02295" w14:textId="77777777" w:rsidR="00A87368" w:rsidRDefault="00A87368" w:rsidP="00B27884">
            <w:pPr>
              <w:jc w:val="both"/>
            </w:pPr>
          </w:p>
          <w:p w14:paraId="6067D10A" w14:textId="3ED9E151" w:rsidR="00A87368" w:rsidRPr="00B646AB" w:rsidRDefault="00A87368" w:rsidP="00B27884">
            <w:pPr>
              <w:jc w:val="both"/>
            </w:pPr>
            <w:r>
              <w:t>Kaasamisringi lisatakse Airok OÜ.</w:t>
            </w:r>
          </w:p>
          <w:p w14:paraId="03A2FDC9" w14:textId="71E4391C" w:rsidR="00A87368" w:rsidRPr="00B646AB" w:rsidRDefault="00A87368" w:rsidP="009F6031">
            <w:pPr>
              <w:jc w:val="both"/>
            </w:pPr>
          </w:p>
          <w:p w14:paraId="7757ED9F" w14:textId="7C565BD8" w:rsidR="00A87368" w:rsidRPr="00B646AB" w:rsidRDefault="00A87368" w:rsidP="009F6031">
            <w:pPr>
              <w:jc w:val="both"/>
            </w:pPr>
          </w:p>
        </w:tc>
      </w:tr>
      <w:tr w:rsidR="00A87368" w:rsidRPr="00584155" w14:paraId="452C2DE9" w14:textId="77777777" w:rsidTr="005A1643">
        <w:tc>
          <w:tcPr>
            <w:tcW w:w="1025" w:type="dxa"/>
          </w:tcPr>
          <w:p w14:paraId="7DC74552" w14:textId="49DE6B81" w:rsidR="00A87368" w:rsidRPr="00584155" w:rsidRDefault="00A87368" w:rsidP="008D1ADF">
            <w:pPr>
              <w:rPr>
                <w:rFonts w:cstheme="minorHAnsi"/>
                <w:b/>
                <w:bCs/>
              </w:rPr>
            </w:pPr>
            <w:r>
              <w:rPr>
                <w:rFonts w:cstheme="minorHAnsi"/>
                <w:b/>
                <w:bCs/>
              </w:rPr>
              <w:t>Jrk</w:t>
            </w:r>
          </w:p>
        </w:tc>
        <w:tc>
          <w:tcPr>
            <w:tcW w:w="2231" w:type="dxa"/>
          </w:tcPr>
          <w:p w14:paraId="4C419394" w14:textId="77777777" w:rsidR="005A1643" w:rsidRPr="00691FD9" w:rsidRDefault="005A1643" w:rsidP="005A1643">
            <w:pPr>
              <w:autoSpaceDE w:val="0"/>
              <w:autoSpaceDN w:val="0"/>
              <w:adjustRightInd w:val="0"/>
              <w:jc w:val="both"/>
              <w:rPr>
                <w:rFonts w:cstheme="minorHAnsi"/>
                <w:b/>
                <w:bCs/>
              </w:rPr>
            </w:pPr>
            <w:r w:rsidRPr="00691FD9">
              <w:rPr>
                <w:rFonts w:cstheme="minorHAnsi"/>
                <w:b/>
                <w:bCs/>
              </w:rPr>
              <w:t>7-2/405-12</w:t>
            </w:r>
          </w:p>
          <w:p w14:paraId="7DDC4410" w14:textId="23A4B157" w:rsidR="00A87368" w:rsidRDefault="00A87368" w:rsidP="008D1ADF">
            <w:pPr>
              <w:autoSpaceDE w:val="0"/>
              <w:autoSpaceDN w:val="0"/>
              <w:adjustRightInd w:val="0"/>
              <w:jc w:val="both"/>
              <w:rPr>
                <w:rFonts w:cstheme="minorHAnsi"/>
                <w:b/>
                <w:bCs/>
              </w:rPr>
            </w:pPr>
          </w:p>
        </w:tc>
        <w:tc>
          <w:tcPr>
            <w:tcW w:w="5382" w:type="dxa"/>
          </w:tcPr>
          <w:p w14:paraId="60BB634F" w14:textId="773315E7" w:rsidR="00A87368" w:rsidRDefault="00A87368" w:rsidP="008D1ADF">
            <w:pPr>
              <w:autoSpaceDE w:val="0"/>
              <w:autoSpaceDN w:val="0"/>
              <w:adjustRightInd w:val="0"/>
              <w:jc w:val="both"/>
              <w:rPr>
                <w:rFonts w:cstheme="minorHAnsi"/>
                <w:b/>
                <w:bCs/>
              </w:rPr>
            </w:pPr>
            <w:r>
              <w:rPr>
                <w:rFonts w:cstheme="minorHAnsi"/>
                <w:b/>
                <w:bCs/>
              </w:rPr>
              <w:t>Transpordiamet</w:t>
            </w:r>
          </w:p>
        </w:tc>
        <w:tc>
          <w:tcPr>
            <w:tcW w:w="5021" w:type="dxa"/>
          </w:tcPr>
          <w:p w14:paraId="0FDDA5BE" w14:textId="2AD2FB7D" w:rsidR="00A87368" w:rsidRPr="00584155" w:rsidRDefault="00A87368" w:rsidP="008D1ADF">
            <w:pPr>
              <w:jc w:val="both"/>
              <w:rPr>
                <w:rFonts w:cstheme="minorHAnsi"/>
                <w:b/>
                <w:bCs/>
              </w:rPr>
            </w:pPr>
            <w:r w:rsidRPr="00584155">
              <w:rPr>
                <w:rFonts w:cstheme="minorHAnsi"/>
                <w:b/>
                <w:bCs/>
              </w:rPr>
              <w:t>Seisukohaga arvestamine/arvestamata jätmine</w:t>
            </w:r>
          </w:p>
        </w:tc>
      </w:tr>
      <w:tr w:rsidR="00A87368" w:rsidRPr="00584155" w14:paraId="3B7FBF90" w14:textId="77777777" w:rsidTr="005A1643">
        <w:tc>
          <w:tcPr>
            <w:tcW w:w="1025" w:type="dxa"/>
          </w:tcPr>
          <w:p w14:paraId="098CA383" w14:textId="7B06ADC4" w:rsidR="00A87368" w:rsidRPr="00584155" w:rsidRDefault="00A87368" w:rsidP="008D1ADF">
            <w:pPr>
              <w:rPr>
                <w:rFonts w:cstheme="minorHAnsi"/>
                <w:b/>
                <w:bCs/>
              </w:rPr>
            </w:pPr>
            <w:r>
              <w:rPr>
                <w:rFonts w:cstheme="minorHAnsi"/>
                <w:b/>
                <w:bCs/>
              </w:rPr>
              <w:t>1</w:t>
            </w:r>
          </w:p>
        </w:tc>
        <w:tc>
          <w:tcPr>
            <w:tcW w:w="2231" w:type="dxa"/>
          </w:tcPr>
          <w:p w14:paraId="63A72BF1" w14:textId="00340B96" w:rsidR="00A87368" w:rsidRPr="00AB6411" w:rsidRDefault="00691FD9" w:rsidP="00AB6411">
            <w:pPr>
              <w:autoSpaceDE w:val="0"/>
              <w:autoSpaceDN w:val="0"/>
              <w:adjustRightInd w:val="0"/>
              <w:jc w:val="both"/>
              <w:rPr>
                <w:rFonts w:cstheme="minorHAnsi"/>
              </w:rPr>
            </w:pPr>
            <w:r>
              <w:rPr>
                <w:rFonts w:cstheme="minorHAnsi"/>
              </w:rPr>
              <w:t>04.03.2024 nr 7.2-2/24/3813-3</w:t>
            </w:r>
          </w:p>
        </w:tc>
        <w:tc>
          <w:tcPr>
            <w:tcW w:w="5382" w:type="dxa"/>
          </w:tcPr>
          <w:p w14:paraId="6A0EF5A1" w14:textId="062C117A" w:rsidR="00A87368" w:rsidRPr="00AB6411" w:rsidRDefault="00A87368" w:rsidP="00AB6411">
            <w:pPr>
              <w:autoSpaceDE w:val="0"/>
              <w:autoSpaceDN w:val="0"/>
              <w:adjustRightInd w:val="0"/>
              <w:jc w:val="both"/>
              <w:rPr>
                <w:rFonts w:cstheme="minorHAnsi"/>
              </w:rPr>
            </w:pPr>
            <w:r w:rsidRPr="00AB6411">
              <w:rPr>
                <w:rFonts w:cstheme="minorHAnsi"/>
              </w:rPr>
              <w:t>Andsime seisukohad planeeringu koostamiseks 25.07.2022 kirjaga nr 7.2-2/22/14458-2.</w:t>
            </w:r>
          </w:p>
          <w:p w14:paraId="5AF20A50" w14:textId="77777777" w:rsidR="00A87368" w:rsidRPr="00AB6411" w:rsidRDefault="00A87368" w:rsidP="00AB6411">
            <w:pPr>
              <w:autoSpaceDE w:val="0"/>
              <w:autoSpaceDN w:val="0"/>
              <w:adjustRightInd w:val="0"/>
              <w:jc w:val="both"/>
              <w:rPr>
                <w:rFonts w:cstheme="minorHAnsi"/>
              </w:rPr>
            </w:pPr>
            <w:r w:rsidRPr="00AB6411">
              <w:rPr>
                <w:rFonts w:cstheme="minorHAnsi"/>
              </w:rPr>
              <w:t>Oleme valla kodulehel oleva planeeringu eskiisiga tutvunud ning palume planeeringu edasisel koostamisel arvestada järgnevate märkustega:</w:t>
            </w:r>
          </w:p>
          <w:p w14:paraId="12827D53" w14:textId="77777777" w:rsidR="00A87368" w:rsidRPr="00AB6411" w:rsidRDefault="00A87368" w:rsidP="00AB6411">
            <w:pPr>
              <w:autoSpaceDE w:val="0"/>
              <w:autoSpaceDN w:val="0"/>
              <w:adjustRightInd w:val="0"/>
              <w:jc w:val="both"/>
              <w:rPr>
                <w:rFonts w:cstheme="minorHAnsi"/>
              </w:rPr>
            </w:pPr>
            <w:r w:rsidRPr="00AB6411">
              <w:rPr>
                <w:rFonts w:cstheme="minorHAnsi"/>
              </w:rPr>
              <w:lastRenderedPageBreak/>
              <w:t>1. kanda joonisele riigitee ristumiskoha nähtavuskolmnurgad (seisukohtade punkt 7);</w:t>
            </w:r>
          </w:p>
          <w:p w14:paraId="330E9FF6" w14:textId="77777777" w:rsidR="00A87368" w:rsidRPr="00AB6411" w:rsidRDefault="00A87368" w:rsidP="00AB6411">
            <w:pPr>
              <w:autoSpaceDE w:val="0"/>
              <w:autoSpaceDN w:val="0"/>
              <w:adjustRightInd w:val="0"/>
              <w:jc w:val="both"/>
              <w:rPr>
                <w:rFonts w:cstheme="minorHAnsi"/>
              </w:rPr>
            </w:pPr>
            <w:r w:rsidRPr="00AB6411">
              <w:rPr>
                <w:rFonts w:cstheme="minorHAnsi"/>
              </w:rPr>
              <w:t>2. palume kaaluda, kas Vaki-Kirikumõisa teel olevate truupide läbimõõt on piisav planeeringualalt</w:t>
            </w:r>
          </w:p>
          <w:p w14:paraId="73699428" w14:textId="531B6CCB" w:rsidR="00A87368" w:rsidRDefault="00A87368" w:rsidP="00AB6411">
            <w:pPr>
              <w:autoSpaceDE w:val="0"/>
              <w:autoSpaceDN w:val="0"/>
              <w:adjustRightInd w:val="0"/>
              <w:jc w:val="both"/>
              <w:rPr>
                <w:rFonts w:cstheme="minorHAnsi"/>
                <w:b/>
                <w:bCs/>
              </w:rPr>
            </w:pPr>
            <w:r w:rsidRPr="00AB6411">
              <w:rPr>
                <w:rFonts w:cstheme="minorHAnsi"/>
              </w:rPr>
              <w:t>ärajuhitava sademevee vastuvõtmiseks, vajadusel teostada vastavad uuringud.</w:t>
            </w:r>
          </w:p>
        </w:tc>
        <w:tc>
          <w:tcPr>
            <w:tcW w:w="5021" w:type="dxa"/>
          </w:tcPr>
          <w:p w14:paraId="3465ABE2" w14:textId="3539E20C" w:rsidR="00A87368" w:rsidRPr="00C50949" w:rsidRDefault="00A87368" w:rsidP="008D1ADF">
            <w:pPr>
              <w:jc w:val="both"/>
              <w:rPr>
                <w:rFonts w:cstheme="minorHAnsi"/>
              </w:rPr>
            </w:pPr>
            <w:r w:rsidRPr="00C50949">
              <w:rPr>
                <w:rFonts w:cstheme="minorHAnsi"/>
              </w:rPr>
              <w:lastRenderedPageBreak/>
              <w:t>Eskiislahendust täiendatakse</w:t>
            </w:r>
            <w:r w:rsidR="00691FD9">
              <w:rPr>
                <w:rFonts w:cstheme="minorHAnsi"/>
              </w:rPr>
              <w:t xml:space="preserve"> </w:t>
            </w:r>
            <w:r w:rsidRPr="00C50949">
              <w:rPr>
                <w:rFonts w:cstheme="minorHAnsi"/>
              </w:rPr>
              <w:t>ja ettepanekut kaalutakse.</w:t>
            </w:r>
          </w:p>
        </w:tc>
      </w:tr>
      <w:tr w:rsidR="005A1643" w:rsidRPr="00584155" w14:paraId="4FD18413" w14:textId="77777777" w:rsidTr="005A1643">
        <w:tc>
          <w:tcPr>
            <w:tcW w:w="1025" w:type="dxa"/>
          </w:tcPr>
          <w:p w14:paraId="5F1E8B1B" w14:textId="396D42CC" w:rsidR="005A1643" w:rsidRDefault="005A1643" w:rsidP="005A1643">
            <w:pPr>
              <w:rPr>
                <w:rFonts w:cstheme="minorHAnsi"/>
              </w:rPr>
            </w:pPr>
            <w:r w:rsidRPr="00584155">
              <w:rPr>
                <w:rFonts w:cstheme="minorHAnsi"/>
                <w:b/>
                <w:bCs/>
              </w:rPr>
              <w:t>Jrk</w:t>
            </w:r>
          </w:p>
        </w:tc>
        <w:tc>
          <w:tcPr>
            <w:tcW w:w="2231" w:type="dxa"/>
          </w:tcPr>
          <w:p w14:paraId="70950901" w14:textId="77777777" w:rsidR="005A1643" w:rsidRPr="00691FD9" w:rsidRDefault="005A1643" w:rsidP="005A1643">
            <w:pPr>
              <w:autoSpaceDE w:val="0"/>
              <w:autoSpaceDN w:val="0"/>
              <w:adjustRightInd w:val="0"/>
              <w:jc w:val="both"/>
              <w:rPr>
                <w:rFonts w:cstheme="minorHAnsi"/>
                <w:b/>
                <w:bCs/>
                <w:color w:val="000000"/>
              </w:rPr>
            </w:pPr>
            <w:r w:rsidRPr="00691FD9">
              <w:rPr>
                <w:rFonts w:cstheme="minorHAnsi"/>
                <w:b/>
                <w:bCs/>
                <w:color w:val="000000"/>
              </w:rPr>
              <w:t>7.2/405-19</w:t>
            </w:r>
          </w:p>
          <w:p w14:paraId="00F39075" w14:textId="43474842" w:rsidR="005A1643" w:rsidRDefault="005A1643" w:rsidP="005A1643">
            <w:pPr>
              <w:autoSpaceDE w:val="0"/>
              <w:autoSpaceDN w:val="0"/>
              <w:adjustRightInd w:val="0"/>
              <w:jc w:val="both"/>
              <w:rPr>
                <w:rFonts w:cstheme="minorHAnsi"/>
                <w:b/>
                <w:bCs/>
              </w:rPr>
            </w:pPr>
          </w:p>
        </w:tc>
        <w:tc>
          <w:tcPr>
            <w:tcW w:w="5382" w:type="dxa"/>
          </w:tcPr>
          <w:p w14:paraId="31CB71C3" w14:textId="1F4DA65A" w:rsidR="005A1643" w:rsidRPr="001C642B" w:rsidRDefault="005A1643" w:rsidP="005A1643">
            <w:pPr>
              <w:autoSpaceDE w:val="0"/>
              <w:autoSpaceDN w:val="0"/>
              <w:adjustRightInd w:val="0"/>
              <w:jc w:val="both"/>
              <w:rPr>
                <w:rFonts w:cstheme="minorHAnsi"/>
              </w:rPr>
            </w:pPr>
            <w:r>
              <w:rPr>
                <w:rFonts w:cstheme="minorHAnsi"/>
                <w:b/>
                <w:bCs/>
              </w:rPr>
              <w:t>Keskkonnaamet</w:t>
            </w:r>
          </w:p>
        </w:tc>
        <w:tc>
          <w:tcPr>
            <w:tcW w:w="5021" w:type="dxa"/>
          </w:tcPr>
          <w:p w14:paraId="64D80F58" w14:textId="6B16C48A" w:rsidR="005A1643" w:rsidRPr="00B646AB" w:rsidRDefault="005A1643" w:rsidP="005A1643">
            <w:pPr>
              <w:jc w:val="both"/>
            </w:pPr>
            <w:r w:rsidRPr="00584155">
              <w:rPr>
                <w:rFonts w:cstheme="minorHAnsi"/>
                <w:b/>
                <w:bCs/>
              </w:rPr>
              <w:t>Seisukohaga arvestamine/arvestamata jätmine</w:t>
            </w:r>
          </w:p>
        </w:tc>
      </w:tr>
      <w:tr w:rsidR="005A1643" w:rsidRPr="00584155" w14:paraId="477EB0EB" w14:textId="77777777" w:rsidTr="005A1643">
        <w:tc>
          <w:tcPr>
            <w:tcW w:w="1025" w:type="dxa"/>
          </w:tcPr>
          <w:p w14:paraId="13EAC4BD" w14:textId="6DCC807A" w:rsidR="005A1643" w:rsidRPr="00584155" w:rsidRDefault="005A1643" w:rsidP="005A1643">
            <w:pPr>
              <w:rPr>
                <w:rFonts w:cstheme="minorHAnsi"/>
              </w:rPr>
            </w:pPr>
            <w:r>
              <w:rPr>
                <w:rFonts w:cstheme="minorHAnsi"/>
              </w:rPr>
              <w:t>1</w:t>
            </w:r>
          </w:p>
        </w:tc>
        <w:tc>
          <w:tcPr>
            <w:tcW w:w="2231" w:type="dxa"/>
          </w:tcPr>
          <w:p w14:paraId="731A06BE" w14:textId="20ABD4F5" w:rsidR="005A1643" w:rsidRPr="00D97F37" w:rsidRDefault="00691FD9" w:rsidP="005A1643">
            <w:pPr>
              <w:autoSpaceDE w:val="0"/>
              <w:autoSpaceDN w:val="0"/>
              <w:adjustRightInd w:val="0"/>
              <w:jc w:val="both"/>
              <w:rPr>
                <w:rFonts w:cstheme="minorHAnsi"/>
                <w:color w:val="000000"/>
              </w:rPr>
            </w:pPr>
            <w:r>
              <w:rPr>
                <w:rFonts w:cstheme="minorHAnsi"/>
                <w:color w:val="000000"/>
              </w:rPr>
              <w:t>11.04.2024 nr 6-2/24/2980-4</w:t>
            </w:r>
          </w:p>
        </w:tc>
        <w:tc>
          <w:tcPr>
            <w:tcW w:w="5382" w:type="dxa"/>
          </w:tcPr>
          <w:p w14:paraId="03EF3315" w14:textId="1AF9901A" w:rsidR="005A1643" w:rsidRPr="00D97F37" w:rsidRDefault="005A1643" w:rsidP="005A1643">
            <w:pPr>
              <w:autoSpaceDE w:val="0"/>
              <w:autoSpaceDN w:val="0"/>
              <w:adjustRightInd w:val="0"/>
              <w:jc w:val="both"/>
              <w:rPr>
                <w:rFonts w:cstheme="minorHAnsi"/>
                <w:color w:val="000000"/>
              </w:rPr>
            </w:pPr>
            <w:r w:rsidRPr="00D97F37">
              <w:rPr>
                <w:rFonts w:cstheme="minorHAnsi"/>
                <w:color w:val="000000"/>
              </w:rPr>
              <w:t>KSH aruande eelnõu punktis 6.7.2. „Mõju põhjaveele“ on käsitletud maksimaalset</w:t>
            </w:r>
            <w:r>
              <w:rPr>
                <w:rFonts w:cstheme="minorHAnsi"/>
                <w:color w:val="000000"/>
              </w:rPr>
              <w:t xml:space="preserve"> </w:t>
            </w:r>
            <w:r w:rsidRPr="00D97F37">
              <w:rPr>
                <w:rFonts w:cstheme="minorHAnsi"/>
                <w:color w:val="000000"/>
              </w:rPr>
              <w:t>põhjavee vajadust. Kui ettevõte vajab Sõõrike farmi põhjaveehaardest ööpäevas</w:t>
            </w:r>
            <w:r>
              <w:rPr>
                <w:rFonts w:cstheme="minorHAnsi"/>
                <w:color w:val="000000"/>
              </w:rPr>
              <w:t xml:space="preserve"> </w:t>
            </w:r>
            <w:r w:rsidRPr="00D97F37">
              <w:rPr>
                <w:rFonts w:cstheme="minorHAnsi"/>
                <w:color w:val="000000"/>
              </w:rPr>
              <w:t>maksimaalset 647.8 m3 põhjavett, siis eelnevalt on vajalik läbi viia põhjaveevarude uuring</w:t>
            </w:r>
            <w:r>
              <w:rPr>
                <w:rFonts w:cstheme="minorHAnsi"/>
                <w:color w:val="000000"/>
              </w:rPr>
              <w:t xml:space="preserve"> </w:t>
            </w:r>
            <w:r w:rsidRPr="00D97F37">
              <w:rPr>
                <w:rFonts w:cstheme="minorHAnsi"/>
                <w:color w:val="000000"/>
              </w:rPr>
              <w:t>ja varude hindamine, millele järgneb varude kehtestamine. Tegemist on põhjaveehaardega,</w:t>
            </w:r>
            <w:r>
              <w:rPr>
                <w:rFonts w:cstheme="minorHAnsi"/>
                <w:color w:val="000000"/>
              </w:rPr>
              <w:t xml:space="preserve"> </w:t>
            </w:r>
            <w:r w:rsidRPr="00D97F37">
              <w:rPr>
                <w:rFonts w:cstheme="minorHAnsi"/>
                <w:color w:val="000000"/>
              </w:rPr>
              <w:t>mis koosneks siis kolmest puurkaevust, põhjaveevõtuga Siluri-Ordoviitsiumi</w:t>
            </w:r>
            <w:r>
              <w:rPr>
                <w:rFonts w:cstheme="minorHAnsi"/>
                <w:color w:val="000000"/>
              </w:rPr>
              <w:t xml:space="preserve"> </w:t>
            </w:r>
            <w:r w:rsidRPr="00D97F37">
              <w:rPr>
                <w:rFonts w:cstheme="minorHAnsi"/>
                <w:color w:val="000000"/>
              </w:rPr>
              <w:t>põhjaveekihist, Siluri-Ordoviitsiumi Pärnu põhjaveekogumist. Aluseks on veeseaduse</w:t>
            </w:r>
            <w:r>
              <w:rPr>
                <w:rFonts w:cstheme="minorHAnsi"/>
                <w:color w:val="000000"/>
              </w:rPr>
              <w:t xml:space="preserve"> </w:t>
            </w:r>
            <w:r w:rsidRPr="00D97F37">
              <w:rPr>
                <w:rFonts w:cstheme="minorHAnsi"/>
                <w:color w:val="000000"/>
              </w:rPr>
              <w:t>(VeeS) 7. peatükk §-d 203-207. VeeS § 204 lg 1 - põhjaveevaru tuleb hinnata juhul, kui</w:t>
            </w:r>
            <w:r>
              <w:rPr>
                <w:rFonts w:cstheme="minorHAnsi"/>
                <w:color w:val="000000"/>
              </w:rPr>
              <w:t xml:space="preserve"> </w:t>
            </w:r>
            <w:r w:rsidRPr="00D97F37">
              <w:rPr>
                <w:rFonts w:cstheme="minorHAnsi"/>
                <w:color w:val="000000"/>
              </w:rPr>
              <w:t>põhjaveehaarde või kehtestatud põhjaveevaruga ala veevõtt ühest põhjaveekihist on</w:t>
            </w:r>
            <w:r>
              <w:rPr>
                <w:rFonts w:cstheme="minorHAnsi"/>
                <w:color w:val="000000"/>
              </w:rPr>
              <w:t xml:space="preserve"> </w:t>
            </w:r>
            <w:r w:rsidRPr="00D97F37">
              <w:rPr>
                <w:rFonts w:cstheme="minorHAnsi"/>
                <w:color w:val="000000"/>
              </w:rPr>
              <w:t>suurem kui 500 kuupmeetrit ööpäevas. Põhjaveevaru hindamiseks tehakse</w:t>
            </w:r>
            <w:r>
              <w:rPr>
                <w:rFonts w:cstheme="minorHAnsi"/>
                <w:color w:val="000000"/>
              </w:rPr>
              <w:t xml:space="preserve"> </w:t>
            </w:r>
            <w:r w:rsidRPr="00D97F37">
              <w:rPr>
                <w:rFonts w:cstheme="minorHAnsi"/>
                <w:color w:val="000000"/>
              </w:rPr>
              <w:t>hüdrogeoloogiline uuring (VeeS § 204 lg 5). Põhjaveevaru hindamisega kaasnevad kulud</w:t>
            </w:r>
            <w:r>
              <w:rPr>
                <w:rFonts w:cstheme="minorHAnsi"/>
                <w:color w:val="000000"/>
              </w:rPr>
              <w:t xml:space="preserve"> </w:t>
            </w:r>
            <w:r w:rsidRPr="00D97F37">
              <w:rPr>
                <w:rFonts w:cstheme="minorHAnsi"/>
                <w:color w:val="000000"/>
              </w:rPr>
              <w:t>katab isik, kes taotleb põhjaveevaru hindamist. Kord on kehtestatud keskkonnaministri</w:t>
            </w:r>
            <w:r>
              <w:rPr>
                <w:rFonts w:cstheme="minorHAnsi"/>
                <w:color w:val="000000"/>
              </w:rPr>
              <w:t xml:space="preserve"> </w:t>
            </w:r>
            <w:r w:rsidRPr="00D97F37">
              <w:rPr>
                <w:rFonts w:cstheme="minorHAnsi"/>
                <w:color w:val="000000"/>
              </w:rPr>
              <w:t>15.10.2019 määrusega nr 55 „Põhjaveevaru hindamise kord, nõuded põhjaveevaru</w:t>
            </w:r>
            <w:r>
              <w:rPr>
                <w:rFonts w:cstheme="minorHAnsi"/>
                <w:color w:val="000000"/>
              </w:rPr>
              <w:t xml:space="preserve"> </w:t>
            </w:r>
            <w:r w:rsidRPr="00D97F37">
              <w:rPr>
                <w:rFonts w:cstheme="minorHAnsi"/>
                <w:color w:val="000000"/>
              </w:rPr>
              <w:t>hindamise ja hüdrogeoloogilise uuringu aruande kohta ning põhjaveevaru kehtestamise</w:t>
            </w:r>
          </w:p>
          <w:p w14:paraId="063120FA" w14:textId="4247862A" w:rsidR="005A1643" w:rsidRPr="00D97F37" w:rsidRDefault="005A1643" w:rsidP="005A1643">
            <w:pPr>
              <w:autoSpaceDE w:val="0"/>
              <w:autoSpaceDN w:val="0"/>
              <w:adjustRightInd w:val="0"/>
              <w:jc w:val="both"/>
              <w:rPr>
                <w:rFonts w:cstheme="minorHAnsi"/>
                <w:color w:val="000000"/>
              </w:rPr>
            </w:pPr>
            <w:r w:rsidRPr="00D97F37">
              <w:rPr>
                <w:rFonts w:cstheme="minorHAnsi"/>
                <w:color w:val="000000"/>
              </w:rPr>
              <w:t>aluseks olevate andmete koosseis“. Varud on vaja kinnitada kui põhjaveevõtt on üle 500</w:t>
            </w:r>
            <w:r>
              <w:rPr>
                <w:rFonts w:cstheme="minorHAnsi"/>
                <w:color w:val="000000"/>
              </w:rPr>
              <w:t xml:space="preserve"> </w:t>
            </w:r>
            <w:r w:rsidRPr="00D97F37">
              <w:rPr>
                <w:rFonts w:cstheme="minorHAnsi"/>
                <w:color w:val="000000"/>
              </w:rPr>
              <w:t>m3 ööpäevas, et vältida põhjavee liigvähendamist ning saavutada või säilitada</w:t>
            </w:r>
          </w:p>
          <w:p w14:paraId="19547D60" w14:textId="77777777" w:rsidR="005A1643" w:rsidRDefault="005A1643" w:rsidP="005A1643">
            <w:pPr>
              <w:autoSpaceDE w:val="0"/>
              <w:autoSpaceDN w:val="0"/>
              <w:adjustRightInd w:val="0"/>
              <w:jc w:val="both"/>
              <w:rPr>
                <w:rFonts w:cstheme="minorHAnsi"/>
                <w:color w:val="000000"/>
              </w:rPr>
            </w:pPr>
            <w:r w:rsidRPr="00D97F37">
              <w:rPr>
                <w:rFonts w:cstheme="minorHAnsi"/>
                <w:color w:val="000000"/>
              </w:rPr>
              <w:lastRenderedPageBreak/>
              <w:t>põhjaveekogumi hea seisund (veemajanduskava eesmärk).</w:t>
            </w:r>
          </w:p>
          <w:p w14:paraId="18119877" w14:textId="77777777" w:rsidR="005A1643" w:rsidRDefault="005A1643" w:rsidP="005A1643">
            <w:pPr>
              <w:autoSpaceDE w:val="0"/>
              <w:autoSpaceDN w:val="0"/>
              <w:adjustRightInd w:val="0"/>
              <w:jc w:val="both"/>
              <w:rPr>
                <w:rFonts w:cstheme="minorHAnsi"/>
                <w:color w:val="000000"/>
              </w:rPr>
            </w:pPr>
          </w:p>
          <w:p w14:paraId="308A3A70" w14:textId="2D916988" w:rsidR="005A1643" w:rsidRPr="00B646AB" w:rsidRDefault="005A1643" w:rsidP="005A1643">
            <w:pPr>
              <w:autoSpaceDE w:val="0"/>
              <w:autoSpaceDN w:val="0"/>
              <w:adjustRightInd w:val="0"/>
              <w:jc w:val="both"/>
              <w:rPr>
                <w:rFonts w:cstheme="minorHAnsi"/>
                <w:color w:val="000000"/>
              </w:rPr>
            </w:pPr>
            <w:r w:rsidRPr="00D97F37">
              <w:rPr>
                <w:rFonts w:cstheme="minorHAnsi"/>
                <w:color w:val="000000"/>
              </w:rPr>
              <w:t>Varude kehtestamise tellijaks võib olla ettevõte, kelle huvides on kindlustada piisav veevarustus või koordineerib seda kohalik omavalitsus. Sõõrike veisefarmi puurkaevude tootlikkuse hinnang (OÜ IB Steiger töö nr 23/4254) on heaks aluseks olemasoleva kahe puurkaevu töö ja planeeritava puurkaevu kohta, aga märkimata on varude hindamise vajadus maksimaalse veevõtu korral.</w:t>
            </w:r>
          </w:p>
        </w:tc>
        <w:tc>
          <w:tcPr>
            <w:tcW w:w="5021" w:type="dxa"/>
          </w:tcPr>
          <w:p w14:paraId="60CAB9F1" w14:textId="55AE3A47" w:rsidR="005A1643" w:rsidRPr="00C50FAD" w:rsidRDefault="005A1643" w:rsidP="005A1643">
            <w:pPr>
              <w:jc w:val="both"/>
            </w:pPr>
            <w:r w:rsidRPr="00C50FAD">
              <w:lastRenderedPageBreak/>
              <w:t xml:space="preserve">VeeS </w:t>
            </w:r>
            <w:r w:rsidRPr="00C50FAD">
              <w:rPr>
                <w:rFonts w:cstheme="minorHAnsi"/>
              </w:rPr>
              <w:t>§</w:t>
            </w:r>
            <w:r w:rsidRPr="00C50FAD">
              <w:t xml:space="preserve">16 kohaselt on veehaare ehitis vee võtmiseks veekogust või põhjaveekihist. </w:t>
            </w:r>
            <w:r>
              <w:t xml:space="preserve">Selgitame, et </w:t>
            </w:r>
            <w:r w:rsidRPr="00C50FAD">
              <w:t>AS Vändra ei plaani grupeerida kahte olemasolevat ja rajatavat puurkaevu üheks veehaardeks ning ühestki kaevust ei võeta üle 500 m</w:t>
            </w:r>
            <w:r w:rsidRPr="00C50FAD">
              <w:rPr>
                <w:vertAlign w:val="superscript"/>
              </w:rPr>
              <w:t>3</w:t>
            </w:r>
            <w:r w:rsidRPr="00C50FAD">
              <w:t>/ööp</w:t>
            </w:r>
            <w:r>
              <w:t>. Samuti ei plaanita võtta põhjavett kahest olemasolevast puurkaevust nr 6355 ja 56168 (vahemaa 223 meetrit) summaarselt üle 500 m</w:t>
            </w:r>
            <w:r w:rsidRPr="00D250E3">
              <w:rPr>
                <w:vertAlign w:val="superscript"/>
              </w:rPr>
              <w:t>3</w:t>
            </w:r>
            <w:r>
              <w:t>/ööp</w:t>
            </w:r>
            <w:r w:rsidRPr="00C50FAD">
              <w:t xml:space="preserve">. </w:t>
            </w:r>
            <w:r>
              <w:t xml:space="preserve">Planeeritava puurkaevu asukoht paikneb olemasolevatest puurkaevudest 1,08 – 1,17 km kaugusel eraldiseisval kinnistul KÜ </w:t>
            </w:r>
            <w:r w:rsidRPr="009E52D8">
              <w:t>93002:002:0241</w:t>
            </w:r>
            <w:r>
              <w:t>. OÜ Inseneribüroo STEIGER uuringu kohaselt on maksimaalse veevõtu korral ainult olemasolevatest puurkaevudest alanduslehter kuni 270 m, kuid kolmanda puurkaevu rajamisel langeb see 180 m peale. Kolmanda puurkaevuga mõjualad ei kattu.</w:t>
            </w:r>
          </w:p>
          <w:p w14:paraId="61EDB6FA" w14:textId="77777777" w:rsidR="005A1643" w:rsidRDefault="005A1643" w:rsidP="005A1643">
            <w:pPr>
              <w:jc w:val="both"/>
            </w:pPr>
          </w:p>
          <w:p w14:paraId="41F0A1DF" w14:textId="54A1472A" w:rsidR="005A1643" w:rsidRPr="00B646AB" w:rsidRDefault="005A1643" w:rsidP="005A1643">
            <w:pPr>
              <w:jc w:val="both"/>
            </w:pPr>
            <w:r>
              <w:t xml:space="preserve">Ekspertrühma </w:t>
            </w:r>
            <w:r w:rsidR="00691FD9">
              <w:t xml:space="preserve">on </w:t>
            </w:r>
            <w:r>
              <w:t>seisukohal</w:t>
            </w:r>
            <w:r w:rsidR="00691FD9">
              <w:t xml:space="preserve">, et </w:t>
            </w:r>
            <w:r>
              <w:t xml:space="preserve"> eeltoodu info põhjal </w:t>
            </w:r>
            <w:r w:rsidR="00691FD9">
              <w:t xml:space="preserve">ei ole </w:t>
            </w:r>
            <w:r>
              <w:t>põhjaveevarude hindamine nõutud. KSH aruannet täpsustatakse.</w:t>
            </w:r>
          </w:p>
        </w:tc>
      </w:tr>
      <w:tr w:rsidR="005A1643" w:rsidRPr="00584155" w14:paraId="6EE90CE0" w14:textId="77777777" w:rsidTr="005A1643">
        <w:tc>
          <w:tcPr>
            <w:tcW w:w="1025" w:type="dxa"/>
          </w:tcPr>
          <w:p w14:paraId="50CD1E00" w14:textId="6C6E6BB1" w:rsidR="005A1643" w:rsidRDefault="005A1643" w:rsidP="005A1643">
            <w:pPr>
              <w:rPr>
                <w:rFonts w:cstheme="minorHAnsi"/>
              </w:rPr>
            </w:pPr>
            <w:r>
              <w:rPr>
                <w:rFonts w:cstheme="minorHAnsi"/>
              </w:rPr>
              <w:t>2</w:t>
            </w:r>
          </w:p>
        </w:tc>
        <w:tc>
          <w:tcPr>
            <w:tcW w:w="2231" w:type="dxa"/>
          </w:tcPr>
          <w:p w14:paraId="2D6886D8" w14:textId="77777777" w:rsidR="005A1643" w:rsidRPr="002A0AA3" w:rsidRDefault="005A1643" w:rsidP="005A1643">
            <w:pPr>
              <w:autoSpaceDE w:val="0"/>
              <w:autoSpaceDN w:val="0"/>
              <w:adjustRightInd w:val="0"/>
              <w:jc w:val="both"/>
              <w:rPr>
                <w:rFonts w:cstheme="minorHAnsi"/>
                <w:color w:val="000000"/>
              </w:rPr>
            </w:pPr>
          </w:p>
        </w:tc>
        <w:tc>
          <w:tcPr>
            <w:tcW w:w="5382" w:type="dxa"/>
          </w:tcPr>
          <w:p w14:paraId="6804CCB9" w14:textId="48818F70" w:rsidR="005A1643" w:rsidRPr="001574BA" w:rsidRDefault="005A1643" w:rsidP="005A1643">
            <w:pPr>
              <w:autoSpaceDE w:val="0"/>
              <w:autoSpaceDN w:val="0"/>
              <w:adjustRightInd w:val="0"/>
              <w:jc w:val="both"/>
              <w:rPr>
                <w:rFonts w:cstheme="minorHAnsi"/>
                <w:color w:val="000000"/>
              </w:rPr>
            </w:pPr>
            <w:r w:rsidRPr="002A0AA3">
              <w:rPr>
                <w:rFonts w:cstheme="minorHAnsi"/>
                <w:color w:val="000000"/>
              </w:rPr>
              <w:t>KSH aruande punktis 6.2.2 „Mürahinnang“ on toodud, et mürahinnangus analüüsiti farmi alal tekkivat tööstusmüra (nt ala sisene sööda- ja sõnnikuvedu, ventilatsiooniseadmed) ja liiklusmüra. Tööstusmüra all on toodud järgmine informatsioon: „</w:t>
            </w:r>
            <w:r w:rsidRPr="002A0AA3">
              <w:rPr>
                <w:rFonts w:cstheme="minorHAnsi"/>
                <w:i/>
                <w:iCs/>
                <w:color w:val="000000"/>
              </w:rPr>
              <w:t>…päevaste tegevuste korral ei ole lähimatel müratundlikel aladel ette näha müra normtasemete (tööstusmüra piirväärtus 60 dB) ületamist ega ka normtasemete lähedast mürataset või olulisi häiringuid.</w:t>
            </w:r>
            <w:r w:rsidRPr="002A0AA3">
              <w:rPr>
                <w:rFonts w:cstheme="minorHAnsi"/>
                <w:color w:val="000000"/>
              </w:rPr>
              <w:t>“ ja järgmises lõigus: „</w:t>
            </w:r>
            <w:r w:rsidRPr="002A0AA3">
              <w:rPr>
                <w:rFonts w:cstheme="minorHAnsi"/>
                <w:i/>
                <w:iCs/>
                <w:color w:val="000000"/>
              </w:rPr>
              <w:t>Kuna öised tegevused toimuvad väiksemas mahus ning masinad ei tööta pidevalt, siis ei ole ka öise pideva tööstusmüra normtaseme (piirväärtus 45 dB) ületamist lähimatel müratundlikel aladel ette näha.</w:t>
            </w:r>
            <w:r w:rsidRPr="002A0AA3">
              <w:rPr>
                <w:rFonts w:cstheme="minorHAnsi"/>
                <w:color w:val="000000"/>
              </w:rPr>
              <w:t>“ Eeltoodud väidete kinnitamiseks ja tõendamiseks ei ole toodud andmeid müraallikate asukohtade ega parameetrite osas. Samuti ei ole teostatud müratasemete arvutusi, modelleerimisi ning tulemuste analüüsi. Ehk kokkuvõttes ei ole Keskkonnaameti hinnangul tööstusmüra hinnatud. Palume aruandes selgemalt ja üheselt mõistetavalt välja tuua, millele esitatud tulemused ja nendest tehtud järeldused tuginevad.</w:t>
            </w:r>
          </w:p>
        </w:tc>
        <w:tc>
          <w:tcPr>
            <w:tcW w:w="5021" w:type="dxa"/>
          </w:tcPr>
          <w:p w14:paraId="44BC31AF" w14:textId="77777777" w:rsidR="005A1643" w:rsidRPr="0034218E" w:rsidRDefault="005A1643" w:rsidP="005A1643">
            <w:pPr>
              <w:jc w:val="both"/>
            </w:pPr>
            <w:r w:rsidRPr="0034218E">
              <w:t>Aruannet täiendatakse, samas ei ole praeguses etapis veel teada võimalike tööstuslike müraallikate (erinevad seadmed) täpsed parameetrid ning asukohad, mistõttu teatud määral jääb hinnang üldisemale tasemele. Võimalike tööstuslike müraallikate puhul on lähimate eluhoonetega tagatud ka piisavalt suured vahemaad ning tootmisalalt väljapoole levib peamiselt liiklusmüra (kuna juurdepääsuks kasutatakse avalikke teid, mille läheduses paiknevad ka elamud), mida on aruandes detailselt hinnatud, sh on koostatud mürakaardid.</w:t>
            </w:r>
          </w:p>
          <w:p w14:paraId="1B2ED689" w14:textId="51D71E8F" w:rsidR="005A1643" w:rsidRPr="008D7AF6" w:rsidRDefault="005A1643" w:rsidP="005A1643">
            <w:pPr>
              <w:pStyle w:val="BodyText"/>
              <w:rPr>
                <w:rFonts w:asciiTheme="minorHAnsi" w:hAnsiTheme="minorHAnsi"/>
                <w:sz w:val="22"/>
              </w:rPr>
            </w:pPr>
          </w:p>
        </w:tc>
      </w:tr>
      <w:tr w:rsidR="005A1643" w:rsidRPr="00584155" w14:paraId="0269B48C" w14:textId="77777777" w:rsidTr="005A1643">
        <w:tc>
          <w:tcPr>
            <w:tcW w:w="1025" w:type="dxa"/>
          </w:tcPr>
          <w:p w14:paraId="65625E2D" w14:textId="38E93C4A" w:rsidR="005A1643" w:rsidRDefault="005A1643" w:rsidP="005A1643">
            <w:pPr>
              <w:rPr>
                <w:rFonts w:cstheme="minorHAnsi"/>
              </w:rPr>
            </w:pPr>
            <w:r>
              <w:rPr>
                <w:rFonts w:cstheme="minorHAnsi"/>
              </w:rPr>
              <w:t>3</w:t>
            </w:r>
          </w:p>
        </w:tc>
        <w:tc>
          <w:tcPr>
            <w:tcW w:w="2231" w:type="dxa"/>
          </w:tcPr>
          <w:p w14:paraId="78268C4C" w14:textId="77777777" w:rsidR="005A1643" w:rsidRPr="002A0AA3" w:rsidRDefault="005A1643" w:rsidP="005A1643">
            <w:pPr>
              <w:autoSpaceDE w:val="0"/>
              <w:autoSpaceDN w:val="0"/>
              <w:adjustRightInd w:val="0"/>
              <w:jc w:val="both"/>
              <w:rPr>
                <w:rFonts w:cstheme="minorHAnsi"/>
                <w:color w:val="000000"/>
              </w:rPr>
            </w:pPr>
          </w:p>
        </w:tc>
        <w:tc>
          <w:tcPr>
            <w:tcW w:w="5382" w:type="dxa"/>
          </w:tcPr>
          <w:p w14:paraId="09C3D99D" w14:textId="1E09C711" w:rsidR="005A1643" w:rsidRPr="002A0AA3" w:rsidRDefault="005A1643" w:rsidP="005A1643">
            <w:pPr>
              <w:autoSpaceDE w:val="0"/>
              <w:autoSpaceDN w:val="0"/>
              <w:adjustRightInd w:val="0"/>
              <w:jc w:val="both"/>
              <w:rPr>
                <w:rFonts w:cstheme="minorHAnsi"/>
                <w:color w:val="000000"/>
              </w:rPr>
            </w:pPr>
            <w:r w:rsidRPr="002A0AA3">
              <w:rPr>
                <w:rFonts w:cstheme="minorHAnsi"/>
                <w:color w:val="000000"/>
              </w:rPr>
              <w:t xml:space="preserve">KSH aruande punktis 6.4.6 „Hinnang keskkonnaloa vajadusele“ viidatakse keskkonnaloa künnistele välisõhu saasteainete osas ja on märgitud, et kuna neid künniseid </w:t>
            </w:r>
            <w:r w:rsidRPr="002A0AA3">
              <w:rPr>
                <w:rFonts w:cstheme="minorHAnsi"/>
                <w:color w:val="000000"/>
              </w:rPr>
              <w:lastRenderedPageBreak/>
              <w:t>ületatakse, siis on keskkonnaluba saasteainete väljutamiseks välisõhku nõutav. Juhime tähelepanu, et kuna olemasoleval käitisel on juba kehtiv keskkonnakompleksluba ja ületatakse kompleksloa künniseid, siis esitatud informatsioon punktis 6.4.6 on eksitav, kuna käitises on ikkagi kompleksluba nõutav.</w:t>
            </w:r>
          </w:p>
        </w:tc>
        <w:tc>
          <w:tcPr>
            <w:tcW w:w="5021" w:type="dxa"/>
          </w:tcPr>
          <w:p w14:paraId="398019C7" w14:textId="404C6CD4" w:rsidR="005A1643" w:rsidRPr="023B75A4" w:rsidRDefault="005A1643" w:rsidP="005A1643">
            <w:pPr>
              <w:pStyle w:val="BodyText"/>
              <w:rPr>
                <w:rFonts w:asciiTheme="minorHAnsi" w:hAnsiTheme="minorHAnsi"/>
                <w:sz w:val="22"/>
              </w:rPr>
            </w:pPr>
            <w:r>
              <w:rPr>
                <w:rFonts w:asciiTheme="minorHAnsi" w:hAnsiTheme="minorHAnsi"/>
                <w:sz w:val="22"/>
              </w:rPr>
              <w:lastRenderedPageBreak/>
              <w:t>Ptk 6.4.6 sõnastust parandatakse vastavalt.</w:t>
            </w:r>
          </w:p>
        </w:tc>
      </w:tr>
      <w:tr w:rsidR="005A1643" w:rsidRPr="00584155" w14:paraId="62CF4E65" w14:textId="77777777" w:rsidTr="005A1643">
        <w:tc>
          <w:tcPr>
            <w:tcW w:w="1025" w:type="dxa"/>
          </w:tcPr>
          <w:p w14:paraId="3484CBC3" w14:textId="08256726" w:rsidR="005A1643" w:rsidRDefault="005A1643" w:rsidP="005A1643">
            <w:pPr>
              <w:rPr>
                <w:rFonts w:cstheme="minorHAnsi"/>
              </w:rPr>
            </w:pPr>
            <w:r>
              <w:rPr>
                <w:rFonts w:cstheme="minorHAnsi"/>
              </w:rPr>
              <w:t>4</w:t>
            </w:r>
          </w:p>
        </w:tc>
        <w:tc>
          <w:tcPr>
            <w:tcW w:w="2231" w:type="dxa"/>
          </w:tcPr>
          <w:p w14:paraId="501ACE97" w14:textId="77777777" w:rsidR="005A1643" w:rsidRPr="002A0AA3" w:rsidRDefault="005A1643" w:rsidP="005A1643">
            <w:pPr>
              <w:autoSpaceDE w:val="0"/>
              <w:autoSpaceDN w:val="0"/>
              <w:adjustRightInd w:val="0"/>
              <w:jc w:val="both"/>
              <w:rPr>
                <w:rFonts w:cstheme="minorHAnsi"/>
                <w:color w:val="000000"/>
              </w:rPr>
            </w:pPr>
          </w:p>
        </w:tc>
        <w:tc>
          <w:tcPr>
            <w:tcW w:w="5382" w:type="dxa"/>
          </w:tcPr>
          <w:p w14:paraId="3D957237" w14:textId="79E1377E" w:rsidR="005A1643" w:rsidRDefault="005A1643" w:rsidP="005A1643">
            <w:pPr>
              <w:autoSpaceDE w:val="0"/>
              <w:autoSpaceDN w:val="0"/>
              <w:adjustRightInd w:val="0"/>
              <w:jc w:val="both"/>
              <w:rPr>
                <w:rFonts w:cstheme="minorHAnsi"/>
                <w:color w:val="000000"/>
              </w:rPr>
            </w:pPr>
            <w:r w:rsidRPr="002A0AA3">
              <w:rPr>
                <w:rFonts w:cstheme="minorHAnsi"/>
                <w:color w:val="000000"/>
              </w:rPr>
              <w:t>Keskkonnaministri 27.12.2016 määrus nr 81 on alates 14.07.2023 kehtetu, 06.07.2023 võeti vastu kliimaministri määrus nr 37 „Lõhnaaine esinemise hindamise kord, hindamisele esitatavad nõuded ja lõhnaaine esinemise häiringutasemed“ (edaspidi määrus nr 37). Määrus nr 37 § 2 lg 1 sätestab, et häiringutaseme võimaliku ületamise kohta hinnangu andmise otsustamise korral tuleb hinnata lõhnaaine esinemist referentsmeetodiga. Nimetatud määruse § 2 lg 2 sätestab, et lõhnaaine esinemise häiringutase vastuvõtja juures loetakse ületatuks enam kui 15% aasta lõhnatunni korral, kui referentsmeetodina kasutatakse eraldi või omavahel kombineerituna järgmisi standardeid:</w:t>
            </w:r>
            <w:r>
              <w:rPr>
                <w:rFonts w:cstheme="minorHAnsi"/>
                <w:color w:val="000000"/>
              </w:rPr>
              <w:t xml:space="preserve"> </w:t>
            </w:r>
            <w:r w:rsidRPr="002A0AA3">
              <w:rPr>
                <w:rFonts w:cstheme="minorHAnsi"/>
                <w:color w:val="000000"/>
              </w:rPr>
              <w:t>1) standardit EVS-EN 13725;</w:t>
            </w:r>
            <w:r>
              <w:rPr>
                <w:rFonts w:cstheme="minorHAnsi"/>
                <w:color w:val="000000"/>
              </w:rPr>
              <w:t xml:space="preserve"> </w:t>
            </w:r>
            <w:r w:rsidRPr="002A0AA3">
              <w:rPr>
                <w:rFonts w:cstheme="minorHAnsi"/>
                <w:color w:val="000000"/>
              </w:rPr>
              <w:t>2) standardit EVS-EN 16841-1;</w:t>
            </w:r>
            <w:r>
              <w:rPr>
                <w:rFonts w:cstheme="minorHAnsi"/>
                <w:color w:val="000000"/>
              </w:rPr>
              <w:t xml:space="preserve"> </w:t>
            </w:r>
            <w:r w:rsidRPr="002A0AA3">
              <w:rPr>
                <w:rFonts w:cstheme="minorHAnsi"/>
                <w:color w:val="000000"/>
              </w:rPr>
              <w:t>3) standardit EVS 886-1;</w:t>
            </w:r>
            <w:r>
              <w:rPr>
                <w:rFonts w:cstheme="minorHAnsi"/>
                <w:color w:val="000000"/>
              </w:rPr>
              <w:t xml:space="preserve"> </w:t>
            </w:r>
            <w:r w:rsidRPr="002A0AA3">
              <w:rPr>
                <w:rFonts w:cstheme="minorHAnsi"/>
                <w:color w:val="000000"/>
              </w:rPr>
              <w:t>4) muid samaväärseid rahvusvahelisi või Euroopa standardiorganisatsiooni standardeid.</w:t>
            </w:r>
          </w:p>
          <w:p w14:paraId="5277FEA3" w14:textId="77777777" w:rsidR="005A1643" w:rsidRDefault="005A1643" w:rsidP="005A1643">
            <w:pPr>
              <w:autoSpaceDE w:val="0"/>
              <w:autoSpaceDN w:val="0"/>
              <w:adjustRightInd w:val="0"/>
              <w:jc w:val="both"/>
              <w:rPr>
                <w:rFonts w:cstheme="minorHAnsi"/>
                <w:color w:val="000000"/>
              </w:rPr>
            </w:pPr>
          </w:p>
          <w:p w14:paraId="6589CDA1" w14:textId="554D1D01" w:rsidR="005A1643" w:rsidRPr="002A0AA3" w:rsidRDefault="005A1643" w:rsidP="005A1643">
            <w:pPr>
              <w:autoSpaceDE w:val="0"/>
              <w:autoSpaceDN w:val="0"/>
              <w:adjustRightInd w:val="0"/>
              <w:jc w:val="both"/>
              <w:rPr>
                <w:rFonts w:cstheme="minorHAnsi"/>
                <w:color w:val="000000"/>
              </w:rPr>
            </w:pPr>
            <w:r w:rsidRPr="002A0AA3">
              <w:rPr>
                <w:rFonts w:cstheme="minorHAnsi"/>
                <w:color w:val="000000"/>
              </w:rPr>
              <w:t>Määrus nr 37 § 3 lg 2 sätestab, et käesoleva määruse lisas esitatud lõhnaühikud on ligikaudsed ning käitistel on õigus oma eriheiteid täpsustada, kasutades selleks käesoleva määrusega kooskõlas olevat standardiseeritud metoodikat. Saksa standardi "</w:t>
            </w:r>
            <w:r w:rsidRPr="002A0AA3">
              <w:rPr>
                <w:rFonts w:cstheme="minorHAnsi"/>
                <w:i/>
                <w:iCs/>
                <w:color w:val="000000"/>
              </w:rPr>
              <w:t>VDI-Standard: VDI 3894 Blatt 1: Emissionen und Immissionen aus Tierhaltungsanlagen Haltungsverfahren und Emissionen Schweine, Rinder, Geflügel, Pferde, 2011</w:t>
            </w:r>
            <w:r w:rsidRPr="002A0AA3">
              <w:rPr>
                <w:rFonts w:cstheme="minorHAnsi"/>
                <w:color w:val="000000"/>
              </w:rPr>
              <w:t xml:space="preserve">" kohaselt on veiste vedelsõnniku puhul katmata hoidlast lõhnaaine eriheide 3 OU/s/m2, loomuliku kooriku puhul on lõhnaaine heitkoguste vähendamise ulatus 30-80% (sõltub </w:t>
            </w:r>
            <w:r w:rsidRPr="002A0AA3">
              <w:rPr>
                <w:rFonts w:cstheme="minorHAnsi"/>
                <w:color w:val="000000"/>
              </w:rPr>
              <w:lastRenderedPageBreak/>
              <w:t>kooriku paksusest ja tihedusest). Antud standardi puhul on veiste tahesõnnikuhoidlast lõhnaaine eriheide 3 OU/s/m2 ja antud standardi kohaselt ei vähene lõhnaheide tahesõnnikuhoidla katmisel. Sõõrike farmi KSH aruandes kasutatud lõhnaaine esinemise hindamisel ei ole kasutatud standardiseeritud metoodikat. Tulenevalt eelnevast tuleb Sõõrike farmi KSH aruandes esitada lõhnaaine esinemise hinnang kasutades määrusega nr 37 kooskõlas olevat standardiseeritud metoodikat.</w:t>
            </w:r>
          </w:p>
        </w:tc>
        <w:tc>
          <w:tcPr>
            <w:tcW w:w="5021" w:type="dxa"/>
          </w:tcPr>
          <w:p w14:paraId="7845C3E0" w14:textId="72C1B750" w:rsidR="005A1643" w:rsidRDefault="005A1643" w:rsidP="005A1643">
            <w:pPr>
              <w:jc w:val="both"/>
              <w:rPr>
                <w:rFonts w:ascii="Calibri" w:hAnsi="Calibri"/>
                <w:color w:val="000000"/>
              </w:rPr>
            </w:pPr>
            <w:r w:rsidRPr="0061491B">
              <w:rPr>
                <w:rStyle w:val="fontstyle01"/>
                <w:sz w:val="22"/>
                <w:szCs w:val="22"/>
              </w:rPr>
              <w:lastRenderedPageBreak/>
              <w:t xml:space="preserve">Antud küsimuses kohtusid eksperdid Keskkonnaametiga 03.05.2024. 15.05.2024 anti KeA poolt kirjalikult teada, et KeA lubab kirjandusallikana kasutada ka </w:t>
            </w:r>
            <w:r w:rsidRPr="0061491B">
              <w:rPr>
                <w:rFonts w:ascii="Calibri" w:hAnsi="Calibri"/>
                <w:color w:val="000000"/>
              </w:rPr>
              <w:t>Saksamaa dokumenti T.Heidenreich „GVSchlüssel und Emissionsfaktoren Tierhaltung. Ermittlung der Emissionsfaktoren.“</w:t>
            </w:r>
          </w:p>
          <w:p w14:paraId="72A298DD" w14:textId="0CA27BCA" w:rsidR="005A1643" w:rsidRPr="0061491B" w:rsidRDefault="005A1643" w:rsidP="005A1643">
            <w:pPr>
              <w:jc w:val="both"/>
            </w:pPr>
            <w:r>
              <w:t>KSH aruandes korrigeeritakse rajatava tahesõnniku hoidla lõhnaheidet.</w:t>
            </w:r>
          </w:p>
        </w:tc>
      </w:tr>
      <w:tr w:rsidR="005A1643" w:rsidRPr="00584155" w14:paraId="762D5F36" w14:textId="77777777" w:rsidTr="005A1643">
        <w:tc>
          <w:tcPr>
            <w:tcW w:w="1025" w:type="dxa"/>
          </w:tcPr>
          <w:p w14:paraId="34F7AA2D" w14:textId="3258641B" w:rsidR="005A1643" w:rsidRDefault="005A1643" w:rsidP="005A1643">
            <w:pPr>
              <w:rPr>
                <w:rFonts w:cstheme="minorHAnsi"/>
              </w:rPr>
            </w:pPr>
            <w:r>
              <w:rPr>
                <w:rFonts w:cstheme="minorHAnsi"/>
              </w:rPr>
              <w:t>5</w:t>
            </w:r>
          </w:p>
        </w:tc>
        <w:tc>
          <w:tcPr>
            <w:tcW w:w="2231" w:type="dxa"/>
          </w:tcPr>
          <w:p w14:paraId="1BCA1407" w14:textId="77777777" w:rsidR="005A1643" w:rsidRPr="0068198F" w:rsidRDefault="005A1643" w:rsidP="005A1643">
            <w:pPr>
              <w:autoSpaceDE w:val="0"/>
              <w:autoSpaceDN w:val="0"/>
              <w:adjustRightInd w:val="0"/>
              <w:jc w:val="both"/>
              <w:rPr>
                <w:rFonts w:cstheme="minorHAnsi"/>
                <w:color w:val="000000"/>
              </w:rPr>
            </w:pPr>
          </w:p>
        </w:tc>
        <w:tc>
          <w:tcPr>
            <w:tcW w:w="5382" w:type="dxa"/>
          </w:tcPr>
          <w:p w14:paraId="1C485026" w14:textId="2F744D66" w:rsidR="005A1643" w:rsidRPr="002A0AA3" w:rsidRDefault="005A1643" w:rsidP="005A1643">
            <w:pPr>
              <w:autoSpaceDE w:val="0"/>
              <w:autoSpaceDN w:val="0"/>
              <w:adjustRightInd w:val="0"/>
              <w:jc w:val="both"/>
              <w:rPr>
                <w:rFonts w:cstheme="minorHAnsi"/>
                <w:color w:val="000000"/>
              </w:rPr>
            </w:pPr>
            <w:r w:rsidRPr="0068198F">
              <w:rPr>
                <w:rFonts w:cstheme="minorHAnsi"/>
                <w:color w:val="000000"/>
              </w:rPr>
              <w:t>KSH aruande punktis 6.8 „Alternatiivide võrdluse kokkuvõte“ tabelis 6.21. „Alternatiivide võrdluse kokkuvõte“ ei ole käsitletud lõhna mõju ning müra mõju kokkuvõttes alternatiiv 1 puhul tööstusmüra mõju (pole ka hinnatud aruande eelnõu punktis 6.2.2 „Mürahinnang“).</w:t>
            </w:r>
          </w:p>
        </w:tc>
        <w:tc>
          <w:tcPr>
            <w:tcW w:w="5021" w:type="dxa"/>
          </w:tcPr>
          <w:p w14:paraId="1D378671" w14:textId="53CEB33B" w:rsidR="005A1643" w:rsidRPr="023B75A4" w:rsidRDefault="005A1643" w:rsidP="005A1643">
            <w:pPr>
              <w:pStyle w:val="BodyText"/>
              <w:rPr>
                <w:rFonts w:asciiTheme="minorHAnsi" w:hAnsiTheme="minorHAnsi"/>
                <w:sz w:val="22"/>
              </w:rPr>
            </w:pPr>
            <w:r>
              <w:rPr>
                <w:rFonts w:asciiTheme="minorHAnsi" w:hAnsiTheme="minorHAnsi"/>
                <w:sz w:val="22"/>
              </w:rPr>
              <w:t>T</w:t>
            </w:r>
            <w:r>
              <w:rPr>
                <w:rFonts w:asciiTheme="minorHAnsi" w:hAnsiTheme="minorHAnsi"/>
              </w:rPr>
              <w:t>abelit 6.2.1 täiendatakse vastavalt.</w:t>
            </w:r>
          </w:p>
        </w:tc>
      </w:tr>
      <w:tr w:rsidR="005A1643" w:rsidRPr="00584155" w14:paraId="72CE5C38" w14:textId="77777777" w:rsidTr="005A1643">
        <w:tc>
          <w:tcPr>
            <w:tcW w:w="1025" w:type="dxa"/>
          </w:tcPr>
          <w:p w14:paraId="42CB1604" w14:textId="17D9CF18" w:rsidR="005A1643" w:rsidRDefault="005A1643" w:rsidP="005A1643">
            <w:pPr>
              <w:rPr>
                <w:rFonts w:cstheme="minorHAnsi"/>
              </w:rPr>
            </w:pPr>
            <w:r>
              <w:rPr>
                <w:rFonts w:cstheme="minorHAnsi"/>
              </w:rPr>
              <w:t>6</w:t>
            </w:r>
          </w:p>
        </w:tc>
        <w:tc>
          <w:tcPr>
            <w:tcW w:w="2231" w:type="dxa"/>
          </w:tcPr>
          <w:p w14:paraId="6C161627" w14:textId="77777777" w:rsidR="005A1643" w:rsidRPr="0068198F" w:rsidRDefault="005A1643" w:rsidP="005A1643">
            <w:pPr>
              <w:autoSpaceDE w:val="0"/>
              <w:autoSpaceDN w:val="0"/>
              <w:adjustRightInd w:val="0"/>
              <w:jc w:val="both"/>
              <w:rPr>
                <w:rFonts w:cstheme="minorHAnsi"/>
                <w:color w:val="000000"/>
              </w:rPr>
            </w:pPr>
          </w:p>
        </w:tc>
        <w:tc>
          <w:tcPr>
            <w:tcW w:w="5382" w:type="dxa"/>
          </w:tcPr>
          <w:p w14:paraId="2CB38CCE" w14:textId="326F1F72" w:rsidR="005A1643" w:rsidRPr="0068198F" w:rsidRDefault="005A1643" w:rsidP="005A1643">
            <w:pPr>
              <w:autoSpaceDE w:val="0"/>
              <w:autoSpaceDN w:val="0"/>
              <w:adjustRightInd w:val="0"/>
              <w:jc w:val="both"/>
              <w:rPr>
                <w:rFonts w:cstheme="minorHAnsi"/>
                <w:color w:val="000000"/>
              </w:rPr>
            </w:pPr>
            <w:r w:rsidRPr="0068198F">
              <w:rPr>
                <w:rFonts w:cstheme="minorHAnsi"/>
                <w:color w:val="000000"/>
              </w:rPr>
              <w:t>DP-s ja KSH aruandes on mitmes kohas välja toodud, et biogaasi plaanitakse toota peamiselt vedelast veisesõnnikust, veise tahesõnnikust, muudest sõnnikutest, toidujäätmetest, teravilja kuivatuse jääkidest ning loomapidamisest üle jäävast riknenud silost. Toidujäätmete päritolu kirjeldus ei ole leitav. Keskkonnaamet juhib tähelepanu asjaolule, et toidujäätmed tuleb käidelda keskkonnasõbralikult ning biolagunevatest jäätmetest kääritusjäägi biogaasi tootja peab oma tegevuses lähtuma keskkonnaministri</w:t>
            </w:r>
            <w:r>
              <w:rPr>
                <w:rFonts w:cstheme="minorHAnsi"/>
                <w:color w:val="000000"/>
              </w:rPr>
              <w:t xml:space="preserve"> </w:t>
            </w:r>
            <w:r w:rsidRPr="0068198F">
              <w:rPr>
                <w:rFonts w:cstheme="minorHAnsi"/>
                <w:color w:val="000000"/>
              </w:rPr>
              <w:t>10.05.2016 määrus nr 12 „Nõuded biolagunevatest jäätmetest biogaasi tootmisel tekkiva</w:t>
            </w:r>
          </w:p>
          <w:p w14:paraId="0418800F" w14:textId="7F2D8217" w:rsidR="005A1643" w:rsidRPr="002A0AA3" w:rsidRDefault="005A1643" w:rsidP="005A1643">
            <w:pPr>
              <w:autoSpaceDE w:val="0"/>
              <w:autoSpaceDN w:val="0"/>
              <w:adjustRightInd w:val="0"/>
              <w:jc w:val="both"/>
              <w:rPr>
                <w:rFonts w:cstheme="minorHAnsi"/>
                <w:color w:val="000000"/>
              </w:rPr>
            </w:pPr>
            <w:r w:rsidRPr="0068198F">
              <w:rPr>
                <w:rFonts w:cstheme="minorHAnsi"/>
                <w:color w:val="000000"/>
              </w:rPr>
              <w:t>kääritusjäägi kohta“ sätestatud nõuetest.</w:t>
            </w:r>
          </w:p>
        </w:tc>
        <w:tc>
          <w:tcPr>
            <w:tcW w:w="5021" w:type="dxa"/>
          </w:tcPr>
          <w:p w14:paraId="3AF56271" w14:textId="37131963" w:rsidR="005A1643" w:rsidRPr="023B75A4" w:rsidRDefault="005A1643" w:rsidP="005A1643">
            <w:pPr>
              <w:pStyle w:val="BodyText"/>
              <w:rPr>
                <w:rFonts w:asciiTheme="minorHAnsi" w:hAnsiTheme="minorHAnsi"/>
                <w:sz w:val="22"/>
              </w:rPr>
            </w:pPr>
            <w:r>
              <w:rPr>
                <w:rFonts w:asciiTheme="minorHAnsi" w:hAnsiTheme="minorHAnsi"/>
                <w:sz w:val="22"/>
              </w:rPr>
              <w:t>DP seletuskirja ja K</w:t>
            </w:r>
            <w:r>
              <w:rPr>
                <w:rFonts w:asciiTheme="minorHAnsi" w:hAnsiTheme="minorHAnsi"/>
              </w:rPr>
              <w:t>SH aruannet täiendatakse vastavalt.</w:t>
            </w:r>
          </w:p>
        </w:tc>
      </w:tr>
      <w:tr w:rsidR="005A1643" w:rsidRPr="00584155" w14:paraId="21F6A23B" w14:textId="77777777" w:rsidTr="005A1643">
        <w:tc>
          <w:tcPr>
            <w:tcW w:w="1025" w:type="dxa"/>
          </w:tcPr>
          <w:p w14:paraId="337B30C3" w14:textId="1B498E89" w:rsidR="005A1643" w:rsidRDefault="005A1643" w:rsidP="005A1643">
            <w:pPr>
              <w:rPr>
                <w:rFonts w:cstheme="minorHAnsi"/>
              </w:rPr>
            </w:pPr>
            <w:r w:rsidRPr="00584155">
              <w:rPr>
                <w:rFonts w:cstheme="minorHAnsi"/>
                <w:b/>
                <w:bCs/>
              </w:rPr>
              <w:t>Jrk</w:t>
            </w:r>
          </w:p>
        </w:tc>
        <w:tc>
          <w:tcPr>
            <w:tcW w:w="2231" w:type="dxa"/>
          </w:tcPr>
          <w:p w14:paraId="41E57D5E" w14:textId="77777777" w:rsidR="005A1643" w:rsidRDefault="005A1643" w:rsidP="005A1643">
            <w:pPr>
              <w:autoSpaceDE w:val="0"/>
              <w:autoSpaceDN w:val="0"/>
              <w:adjustRightInd w:val="0"/>
              <w:jc w:val="both"/>
              <w:rPr>
                <w:rFonts w:cstheme="minorHAnsi"/>
                <w:b/>
                <w:bCs/>
              </w:rPr>
            </w:pPr>
            <w:r>
              <w:rPr>
                <w:rFonts w:cstheme="minorHAnsi"/>
                <w:b/>
                <w:bCs/>
              </w:rPr>
              <w:t>7.2/415-15</w:t>
            </w:r>
          </w:p>
          <w:p w14:paraId="50B5E1FC" w14:textId="005DACB7" w:rsidR="005A1643" w:rsidRDefault="005A1643" w:rsidP="005A1643">
            <w:pPr>
              <w:autoSpaceDE w:val="0"/>
              <w:autoSpaceDN w:val="0"/>
              <w:adjustRightInd w:val="0"/>
              <w:jc w:val="both"/>
              <w:rPr>
                <w:rFonts w:cstheme="minorHAnsi"/>
                <w:b/>
                <w:bCs/>
              </w:rPr>
            </w:pPr>
            <w:r>
              <w:rPr>
                <w:rFonts w:cstheme="minorHAnsi"/>
                <w:b/>
                <w:bCs/>
              </w:rPr>
              <w:t>02.04.2024</w:t>
            </w:r>
          </w:p>
        </w:tc>
        <w:tc>
          <w:tcPr>
            <w:tcW w:w="5382" w:type="dxa"/>
          </w:tcPr>
          <w:p w14:paraId="180A6981" w14:textId="265CC9C9" w:rsidR="005A1643" w:rsidRPr="002A0AA3" w:rsidRDefault="005A1643" w:rsidP="005A1643">
            <w:pPr>
              <w:autoSpaceDE w:val="0"/>
              <w:autoSpaceDN w:val="0"/>
              <w:adjustRightInd w:val="0"/>
              <w:jc w:val="both"/>
              <w:rPr>
                <w:rFonts w:cstheme="minorHAnsi"/>
                <w:color w:val="000000"/>
              </w:rPr>
            </w:pPr>
            <w:r>
              <w:rPr>
                <w:rFonts w:cstheme="minorHAnsi"/>
                <w:b/>
                <w:bCs/>
              </w:rPr>
              <w:t>Viljar Kitsing; Irina Kitsing (Nurmenuku kinnistu)</w:t>
            </w:r>
          </w:p>
        </w:tc>
        <w:tc>
          <w:tcPr>
            <w:tcW w:w="5021" w:type="dxa"/>
          </w:tcPr>
          <w:p w14:paraId="627E4A56" w14:textId="4CF3F8AF" w:rsidR="005A1643" w:rsidRPr="023B75A4" w:rsidRDefault="005A1643" w:rsidP="005A1643">
            <w:pPr>
              <w:pStyle w:val="BodyText"/>
              <w:rPr>
                <w:rFonts w:asciiTheme="minorHAnsi" w:hAnsiTheme="minorHAnsi"/>
                <w:sz w:val="22"/>
              </w:rPr>
            </w:pPr>
            <w:r w:rsidRPr="00584155">
              <w:rPr>
                <w:rFonts w:cstheme="minorHAnsi"/>
                <w:b/>
                <w:bCs/>
              </w:rPr>
              <w:t>Seisukohaga arvestamine/arvestamata jätmine</w:t>
            </w:r>
          </w:p>
        </w:tc>
      </w:tr>
      <w:tr w:rsidR="005A1643" w:rsidRPr="00584155" w14:paraId="765513E5" w14:textId="77777777" w:rsidTr="005A1643">
        <w:tc>
          <w:tcPr>
            <w:tcW w:w="1025" w:type="dxa"/>
          </w:tcPr>
          <w:p w14:paraId="1030F758" w14:textId="740DC198" w:rsidR="005A1643" w:rsidRDefault="005A1643" w:rsidP="005A1643">
            <w:pPr>
              <w:rPr>
                <w:rFonts w:cstheme="minorHAnsi"/>
              </w:rPr>
            </w:pPr>
            <w:r>
              <w:rPr>
                <w:rFonts w:cstheme="minorHAnsi"/>
              </w:rPr>
              <w:t>1</w:t>
            </w:r>
          </w:p>
        </w:tc>
        <w:tc>
          <w:tcPr>
            <w:tcW w:w="2231" w:type="dxa"/>
          </w:tcPr>
          <w:p w14:paraId="05F66B49" w14:textId="77777777" w:rsidR="005A1643" w:rsidRPr="0089409C" w:rsidRDefault="005A1643" w:rsidP="005A1643">
            <w:pPr>
              <w:autoSpaceDE w:val="0"/>
              <w:autoSpaceDN w:val="0"/>
              <w:adjustRightInd w:val="0"/>
              <w:jc w:val="both"/>
              <w:rPr>
                <w:rFonts w:cstheme="minorHAnsi"/>
                <w:color w:val="000000"/>
              </w:rPr>
            </w:pPr>
          </w:p>
        </w:tc>
        <w:tc>
          <w:tcPr>
            <w:tcW w:w="5382" w:type="dxa"/>
          </w:tcPr>
          <w:p w14:paraId="7ACABC46" w14:textId="6CAB62B3" w:rsidR="005A1643" w:rsidRPr="0089409C" w:rsidRDefault="005A1643" w:rsidP="005A1643">
            <w:pPr>
              <w:autoSpaceDE w:val="0"/>
              <w:autoSpaceDN w:val="0"/>
              <w:adjustRightInd w:val="0"/>
              <w:jc w:val="both"/>
              <w:rPr>
                <w:rFonts w:cstheme="minorHAnsi"/>
                <w:color w:val="000000"/>
              </w:rPr>
            </w:pPr>
            <w:r w:rsidRPr="0089409C">
              <w:rPr>
                <w:rFonts w:cstheme="minorHAnsi"/>
                <w:color w:val="000000"/>
              </w:rPr>
              <w:t>Tutvusime farmi eskiislahendusega. Oleme jätkuvalt farmi laiendamise vastu.</w:t>
            </w:r>
            <w:r>
              <w:rPr>
                <w:rFonts w:cstheme="minorHAnsi"/>
                <w:color w:val="000000"/>
              </w:rPr>
              <w:t xml:space="preserve"> </w:t>
            </w:r>
            <w:r w:rsidRPr="0089409C">
              <w:rPr>
                <w:rFonts w:cstheme="minorHAnsi"/>
                <w:color w:val="000000"/>
              </w:rPr>
              <w:t xml:space="preserve">Juba eelmise farmi renoveerimise tulemusel on meie elukeskkond halvenenud. Mis saab veel siis, kui kompleks suureneb neli korda. Kõige hullem on farmist leviv hais. Lisaks müra ja tolm. Vaki ojast on </w:t>
            </w:r>
            <w:r w:rsidRPr="0089409C">
              <w:rPr>
                <w:rFonts w:cstheme="minorHAnsi"/>
                <w:color w:val="000000"/>
              </w:rPr>
              <w:lastRenderedPageBreak/>
              <w:t>kadunud kalad ja konnad.</w:t>
            </w:r>
            <w:r>
              <w:rPr>
                <w:rFonts w:cstheme="minorHAnsi"/>
                <w:color w:val="000000"/>
              </w:rPr>
              <w:t xml:space="preserve"> </w:t>
            </w:r>
            <w:r w:rsidRPr="0089409C">
              <w:rPr>
                <w:rFonts w:cstheme="minorHAnsi"/>
                <w:color w:val="000000"/>
              </w:rPr>
              <w:t>Eelmistes pöördumistes juhtisime tähelepanu keskkonna saastamistele, mida farm pole suutnud vältida.</w:t>
            </w:r>
          </w:p>
          <w:p w14:paraId="5EBA9D02" w14:textId="77777777" w:rsidR="005A1643" w:rsidRDefault="005A1643" w:rsidP="005A1643">
            <w:pPr>
              <w:autoSpaceDE w:val="0"/>
              <w:autoSpaceDN w:val="0"/>
              <w:adjustRightInd w:val="0"/>
              <w:jc w:val="both"/>
              <w:rPr>
                <w:rFonts w:cstheme="minorHAnsi"/>
                <w:color w:val="000000"/>
              </w:rPr>
            </w:pPr>
          </w:p>
          <w:p w14:paraId="4EA5C416" w14:textId="5AC8A6FA" w:rsidR="005A1643" w:rsidRPr="0089409C" w:rsidRDefault="005A1643" w:rsidP="005A1643">
            <w:pPr>
              <w:autoSpaceDE w:val="0"/>
              <w:autoSpaceDN w:val="0"/>
              <w:adjustRightInd w:val="0"/>
              <w:jc w:val="both"/>
              <w:rPr>
                <w:rFonts w:cstheme="minorHAnsi"/>
                <w:color w:val="000000"/>
              </w:rPr>
            </w:pPr>
            <w:r w:rsidRPr="0089409C">
              <w:rPr>
                <w:rFonts w:cstheme="minorHAnsi"/>
                <w:color w:val="000000"/>
              </w:rPr>
              <w:t>Näited:</w:t>
            </w:r>
          </w:p>
          <w:p w14:paraId="3562BB08" w14:textId="344B12EB" w:rsidR="005A1643" w:rsidRPr="0089409C" w:rsidRDefault="005A1643" w:rsidP="005A1643">
            <w:pPr>
              <w:autoSpaceDE w:val="0"/>
              <w:autoSpaceDN w:val="0"/>
              <w:adjustRightInd w:val="0"/>
              <w:jc w:val="both"/>
              <w:rPr>
                <w:rFonts w:cstheme="minorHAnsi"/>
                <w:color w:val="000000"/>
              </w:rPr>
            </w:pPr>
            <w:r w:rsidRPr="0089409C">
              <w:rPr>
                <w:rFonts w:cstheme="minorHAnsi"/>
                <w:color w:val="000000"/>
              </w:rPr>
              <w:t>11.03.2023 seitsmeteist</w:t>
            </w:r>
            <w:r>
              <w:rPr>
                <w:rFonts w:cstheme="minorHAnsi"/>
                <w:color w:val="000000"/>
              </w:rPr>
              <w:t>k</w:t>
            </w:r>
            <w:r w:rsidRPr="0089409C">
              <w:rPr>
                <w:rFonts w:cstheme="minorHAnsi"/>
                <w:color w:val="000000"/>
              </w:rPr>
              <w:t>raadise külmaga, kui kogu oja oli jääs, jooksis Vaki ojja haisev vedelik</w:t>
            </w:r>
          </w:p>
          <w:p w14:paraId="27ADF6A7" w14:textId="2441E638" w:rsidR="005A1643" w:rsidRDefault="005A1643" w:rsidP="005A1643">
            <w:pPr>
              <w:autoSpaceDE w:val="0"/>
              <w:autoSpaceDN w:val="0"/>
              <w:adjustRightInd w:val="0"/>
              <w:jc w:val="both"/>
              <w:rPr>
                <w:rFonts w:cstheme="minorHAnsi"/>
                <w:color w:val="000000"/>
              </w:rPr>
            </w:pPr>
            <w:r w:rsidRPr="0089409C">
              <w:rPr>
                <w:rFonts w:cstheme="minorHAnsi"/>
                <w:color w:val="000000"/>
              </w:rPr>
              <w:t>14.09.2023 selgesse vette voolab sogane haisev vedelik</w:t>
            </w:r>
          </w:p>
          <w:p w14:paraId="57DC28DA" w14:textId="77777777" w:rsidR="005A1643" w:rsidRPr="0089409C" w:rsidRDefault="005A1643" w:rsidP="005A1643">
            <w:pPr>
              <w:autoSpaceDE w:val="0"/>
              <w:autoSpaceDN w:val="0"/>
              <w:adjustRightInd w:val="0"/>
              <w:jc w:val="both"/>
              <w:rPr>
                <w:rFonts w:cstheme="minorHAnsi"/>
                <w:color w:val="000000"/>
              </w:rPr>
            </w:pPr>
            <w:r w:rsidRPr="0089409C">
              <w:rPr>
                <w:rFonts w:cstheme="minorHAnsi"/>
                <w:color w:val="000000"/>
              </w:rPr>
              <w:t>Ka suvistel kuivematel perioodidel, kui oja on peaaegu kuiv, on olnud sama olukord.</w:t>
            </w:r>
          </w:p>
          <w:p w14:paraId="3C5DB58D" w14:textId="77777777" w:rsidR="005A1643" w:rsidRPr="0089409C" w:rsidRDefault="005A1643" w:rsidP="005A1643">
            <w:pPr>
              <w:autoSpaceDE w:val="0"/>
              <w:autoSpaceDN w:val="0"/>
              <w:adjustRightInd w:val="0"/>
              <w:jc w:val="both"/>
              <w:rPr>
                <w:rFonts w:cstheme="minorHAnsi"/>
                <w:color w:val="000000"/>
              </w:rPr>
            </w:pPr>
          </w:p>
          <w:p w14:paraId="024F798B" w14:textId="5675109A" w:rsidR="005A1643" w:rsidRDefault="005A1643" w:rsidP="005A1643">
            <w:pPr>
              <w:autoSpaceDE w:val="0"/>
              <w:autoSpaceDN w:val="0"/>
              <w:adjustRightInd w:val="0"/>
              <w:jc w:val="both"/>
              <w:rPr>
                <w:rFonts w:cstheme="minorHAnsi"/>
                <w:color w:val="000000"/>
              </w:rPr>
            </w:pPr>
            <w:r w:rsidRPr="0089409C">
              <w:rPr>
                <w:rFonts w:cstheme="minorHAnsi"/>
                <w:color w:val="000000"/>
              </w:rPr>
              <w:t>Müra – virtsavedu traktoritega (veebruaris ja märtsis 2024) oli tihedusega 7-8 minuti tagant. See on juba praegu võrdne prognoositava sagedusega (hetkel neli korda väiksema farmiga kavandatavast). Möödasõitvatest püttadest levis ka hais – kinnised pütad?!</w:t>
            </w:r>
            <w:r>
              <w:rPr>
                <w:rFonts w:cstheme="minorHAnsi"/>
                <w:color w:val="000000"/>
              </w:rPr>
              <w:t xml:space="preserve"> </w:t>
            </w:r>
            <w:r w:rsidRPr="0089409C">
              <w:rPr>
                <w:rFonts w:cstheme="minorHAnsi"/>
                <w:color w:val="000000"/>
              </w:rPr>
              <w:t>Virtsavedu põldudele on toimunud ka öösiti.</w:t>
            </w:r>
          </w:p>
          <w:p w14:paraId="014AFF04" w14:textId="77777777" w:rsidR="005A1643" w:rsidRPr="0089409C" w:rsidRDefault="005A1643" w:rsidP="005A1643">
            <w:pPr>
              <w:autoSpaceDE w:val="0"/>
              <w:autoSpaceDN w:val="0"/>
              <w:adjustRightInd w:val="0"/>
              <w:jc w:val="both"/>
              <w:rPr>
                <w:rFonts w:cstheme="minorHAnsi"/>
                <w:color w:val="000000"/>
              </w:rPr>
            </w:pPr>
          </w:p>
          <w:p w14:paraId="418DA184" w14:textId="21D68FDC" w:rsidR="005A1643" w:rsidRPr="002A0AA3" w:rsidRDefault="005A1643" w:rsidP="005A1643">
            <w:pPr>
              <w:autoSpaceDE w:val="0"/>
              <w:autoSpaceDN w:val="0"/>
              <w:adjustRightInd w:val="0"/>
              <w:jc w:val="both"/>
              <w:rPr>
                <w:rFonts w:cstheme="minorHAnsi"/>
                <w:color w:val="000000"/>
              </w:rPr>
            </w:pPr>
            <w:r w:rsidRPr="0089409C">
              <w:rPr>
                <w:rFonts w:cstheme="minorHAnsi"/>
                <w:color w:val="000000"/>
              </w:rPr>
              <w:t>Tolm – jätkuvalt lahendamata probleem</w:t>
            </w:r>
          </w:p>
        </w:tc>
        <w:tc>
          <w:tcPr>
            <w:tcW w:w="5021" w:type="dxa"/>
          </w:tcPr>
          <w:p w14:paraId="0A5E54B9" w14:textId="5A07393D" w:rsidR="005A1643" w:rsidRDefault="005A1643" w:rsidP="005A1643">
            <w:pPr>
              <w:pStyle w:val="BodyText"/>
              <w:rPr>
                <w:rFonts w:asciiTheme="minorHAnsi" w:hAnsiTheme="minorHAnsi"/>
                <w:sz w:val="22"/>
              </w:rPr>
            </w:pPr>
            <w:r>
              <w:rPr>
                <w:rFonts w:asciiTheme="minorHAnsi" w:hAnsiTheme="minorHAnsi"/>
                <w:sz w:val="22"/>
              </w:rPr>
              <w:lastRenderedPageBreak/>
              <w:t xml:space="preserve">Seisukohad on teadmiseks võetud ning ettevõtte omanikule edastatud. </w:t>
            </w:r>
            <w:r w:rsidRPr="008D7856">
              <w:rPr>
                <w:rFonts w:asciiTheme="minorHAnsi" w:hAnsiTheme="minorHAnsi"/>
                <w:sz w:val="22"/>
              </w:rPr>
              <w:t xml:space="preserve">KSH aruannet täiendatakse </w:t>
            </w:r>
            <w:r w:rsidRPr="008D7856">
              <w:rPr>
                <w:rFonts w:asciiTheme="minorHAnsi" w:hAnsiTheme="minorHAnsi"/>
                <w:sz w:val="22"/>
                <w:lang w:val="en-US"/>
              </w:rPr>
              <w:t xml:space="preserve">järgneva </w:t>
            </w:r>
            <w:r w:rsidRPr="008D7856">
              <w:rPr>
                <w:rFonts w:asciiTheme="minorHAnsi" w:hAnsiTheme="minorHAnsi"/>
                <w:sz w:val="22"/>
              </w:rPr>
              <w:t>tolmutõrjemeetmega</w:t>
            </w:r>
            <w:r w:rsidRPr="008D7856">
              <w:rPr>
                <w:rFonts w:asciiTheme="minorHAnsi" w:hAnsiTheme="minorHAnsi"/>
                <w:sz w:val="22"/>
                <w:lang w:val="en-US"/>
              </w:rPr>
              <w:t xml:space="preserve"> – </w:t>
            </w:r>
            <w:r w:rsidRPr="008D7856">
              <w:rPr>
                <w:rFonts w:asciiTheme="minorHAnsi" w:hAnsiTheme="minorHAnsi"/>
                <w:sz w:val="22"/>
              </w:rPr>
              <w:t>töödelda kruusateid</w:t>
            </w:r>
            <w:r w:rsidRPr="008D7856">
              <w:rPr>
                <w:rFonts w:asciiTheme="minorHAnsi" w:hAnsiTheme="minorHAnsi"/>
                <w:sz w:val="22"/>
                <w:lang w:val="en-US"/>
              </w:rPr>
              <w:t xml:space="preserve"> </w:t>
            </w:r>
            <w:r w:rsidRPr="008D7856">
              <w:rPr>
                <w:rFonts w:asciiTheme="minorHAnsi" w:hAnsiTheme="minorHAnsi"/>
                <w:sz w:val="22"/>
                <w:lang w:val="en-US"/>
              </w:rPr>
              <w:lastRenderedPageBreak/>
              <w:t>kloriididega ajaperioodil</w:t>
            </w:r>
            <w:r w:rsidRPr="008D7856">
              <w:rPr>
                <w:rFonts w:asciiTheme="minorHAnsi" w:hAnsiTheme="minorHAnsi"/>
                <w:sz w:val="22"/>
              </w:rPr>
              <w:t>, mi</w:t>
            </w:r>
            <w:r w:rsidRPr="008D7856">
              <w:rPr>
                <w:rFonts w:asciiTheme="minorHAnsi" w:hAnsiTheme="minorHAnsi"/>
                <w:sz w:val="22"/>
                <w:lang w:val="en-US"/>
              </w:rPr>
              <w:t>l</w:t>
            </w:r>
            <w:r w:rsidRPr="008D7856">
              <w:rPr>
                <w:rFonts w:asciiTheme="minorHAnsi" w:hAnsiTheme="minorHAnsi"/>
                <w:sz w:val="22"/>
              </w:rPr>
              <w:t xml:space="preserve"> AS Vändra raskeveokid kasutavad</w:t>
            </w:r>
            <w:r w:rsidRPr="008D7856">
              <w:rPr>
                <w:rFonts w:asciiTheme="minorHAnsi" w:hAnsiTheme="minorHAnsi"/>
                <w:sz w:val="22"/>
                <w:lang w:val="en-US"/>
              </w:rPr>
              <w:t xml:space="preserve"> teelõiku intensiivselt. </w:t>
            </w:r>
          </w:p>
          <w:p w14:paraId="0D1982EF" w14:textId="748FFFD0" w:rsidR="005A1643" w:rsidRDefault="005A1643" w:rsidP="005A1643">
            <w:pPr>
              <w:pStyle w:val="BodyText"/>
              <w:rPr>
                <w:rFonts w:asciiTheme="minorHAnsi" w:hAnsiTheme="minorHAnsi"/>
                <w:sz w:val="22"/>
              </w:rPr>
            </w:pPr>
            <w:r>
              <w:rPr>
                <w:rFonts w:asciiTheme="minorHAnsi" w:hAnsiTheme="minorHAnsi"/>
                <w:sz w:val="22"/>
              </w:rPr>
              <w:t>KSH aruande eelnõus on välja toodud, et kavandatava tegevuse elluviimisel toimub öösiti gaasi ja piima vedu ning need veod toimuvad põhjapoolselt Raudteetammi teelt planeeritud sissesõitude kaudu. Öist sõnniku- ja digestaadivedu ei ole kavandatud. Modelleerimine näitab, et liiklusmüra normtasemete ületamist ei ole ette näha.</w:t>
            </w:r>
          </w:p>
          <w:p w14:paraId="717A27C8" w14:textId="17A617F7" w:rsidR="005A1643" w:rsidRPr="023B75A4" w:rsidRDefault="005A1643" w:rsidP="005A1643">
            <w:pPr>
              <w:pStyle w:val="BodyText"/>
              <w:spacing w:line="240" w:lineRule="auto"/>
              <w:rPr>
                <w:rFonts w:asciiTheme="minorHAnsi" w:hAnsiTheme="minorHAnsi"/>
                <w:sz w:val="22"/>
              </w:rPr>
            </w:pPr>
            <w:r>
              <w:rPr>
                <w:rFonts w:asciiTheme="minorHAnsi" w:hAnsiTheme="minorHAnsi"/>
                <w:sz w:val="22"/>
              </w:rPr>
              <w:t>AS Vändra olemasolevale veisefarmile teostab järelvalvet Keskkonnaamet. Kui Vaki ojas on märgata muutusi, tuleb sellest koheselt teavitada Keskkonnaametit telefoninumbril 1247, kes tuleb kohale ja fikseerib ametlikult olukorra ning selgitab menetluse käigus välja võimaliku reostuse põhjused. Hetkel meile teadaolevalt menetlust 11.03.2023 ja 14.09.2023 juhtumite kohta ei ole algatatud.</w:t>
            </w:r>
          </w:p>
        </w:tc>
      </w:tr>
      <w:tr w:rsidR="005A1643" w:rsidRPr="00584155" w14:paraId="4A95267C" w14:textId="77777777" w:rsidTr="005A1643">
        <w:tc>
          <w:tcPr>
            <w:tcW w:w="1025" w:type="dxa"/>
          </w:tcPr>
          <w:p w14:paraId="161C8C63" w14:textId="79939A16" w:rsidR="005A1643" w:rsidRDefault="005A1643" w:rsidP="005A1643">
            <w:pPr>
              <w:rPr>
                <w:rFonts w:cstheme="minorHAnsi"/>
              </w:rPr>
            </w:pPr>
            <w:r w:rsidRPr="00584155">
              <w:rPr>
                <w:rFonts w:cstheme="minorHAnsi"/>
                <w:b/>
                <w:bCs/>
              </w:rPr>
              <w:lastRenderedPageBreak/>
              <w:t>Jrk</w:t>
            </w:r>
          </w:p>
        </w:tc>
        <w:tc>
          <w:tcPr>
            <w:tcW w:w="2231" w:type="dxa"/>
          </w:tcPr>
          <w:p w14:paraId="65D5FDE9" w14:textId="3D676F38" w:rsidR="005A1643" w:rsidRDefault="005A1643" w:rsidP="005A1643">
            <w:pPr>
              <w:autoSpaceDE w:val="0"/>
              <w:autoSpaceDN w:val="0"/>
              <w:adjustRightInd w:val="0"/>
              <w:jc w:val="both"/>
              <w:rPr>
                <w:rFonts w:cstheme="minorHAnsi"/>
                <w:b/>
                <w:bCs/>
              </w:rPr>
            </w:pPr>
            <w:r>
              <w:rPr>
                <w:rFonts w:cstheme="minorHAnsi"/>
                <w:b/>
                <w:bCs/>
              </w:rPr>
              <w:t>7.2/405-14</w:t>
            </w:r>
          </w:p>
        </w:tc>
        <w:tc>
          <w:tcPr>
            <w:tcW w:w="5382" w:type="dxa"/>
          </w:tcPr>
          <w:p w14:paraId="6042819D" w14:textId="597E858B" w:rsidR="005A1643" w:rsidRPr="0089409C" w:rsidRDefault="005A1643" w:rsidP="005A1643">
            <w:pPr>
              <w:autoSpaceDE w:val="0"/>
              <w:autoSpaceDN w:val="0"/>
              <w:adjustRightInd w:val="0"/>
              <w:jc w:val="both"/>
              <w:rPr>
                <w:rFonts w:cstheme="minorHAnsi"/>
                <w:color w:val="000000"/>
              </w:rPr>
            </w:pPr>
            <w:r>
              <w:rPr>
                <w:rFonts w:cstheme="minorHAnsi"/>
                <w:b/>
                <w:bCs/>
              </w:rPr>
              <w:t>Silva Vechterstein (Nurmesalu kinnistu)</w:t>
            </w:r>
          </w:p>
        </w:tc>
        <w:tc>
          <w:tcPr>
            <w:tcW w:w="5021" w:type="dxa"/>
          </w:tcPr>
          <w:p w14:paraId="72734118" w14:textId="2CE9AC6A" w:rsidR="005A1643" w:rsidRDefault="005A1643" w:rsidP="005A1643">
            <w:pPr>
              <w:pStyle w:val="BodyText"/>
              <w:rPr>
                <w:rFonts w:asciiTheme="minorHAnsi" w:hAnsiTheme="minorHAnsi"/>
                <w:sz w:val="22"/>
              </w:rPr>
            </w:pPr>
            <w:r w:rsidRPr="00584155">
              <w:rPr>
                <w:rFonts w:cstheme="minorHAnsi"/>
                <w:b/>
                <w:bCs/>
              </w:rPr>
              <w:t>Seisukohaga arvestamine/arvestamata jätmine</w:t>
            </w:r>
          </w:p>
        </w:tc>
      </w:tr>
      <w:tr w:rsidR="005A1643" w:rsidRPr="00584155" w14:paraId="5A4907C2" w14:textId="77777777" w:rsidTr="005A1643">
        <w:tc>
          <w:tcPr>
            <w:tcW w:w="1025" w:type="dxa"/>
          </w:tcPr>
          <w:p w14:paraId="0E364A90" w14:textId="1B883308" w:rsidR="005A1643" w:rsidRDefault="005A1643" w:rsidP="005A1643">
            <w:pPr>
              <w:rPr>
                <w:rFonts w:cstheme="minorHAnsi"/>
              </w:rPr>
            </w:pPr>
            <w:r>
              <w:rPr>
                <w:rFonts w:cstheme="minorHAnsi"/>
              </w:rPr>
              <w:t>1</w:t>
            </w:r>
          </w:p>
        </w:tc>
        <w:tc>
          <w:tcPr>
            <w:tcW w:w="2231" w:type="dxa"/>
          </w:tcPr>
          <w:p w14:paraId="484CA979" w14:textId="77777777" w:rsidR="005A1643" w:rsidRDefault="005A1643" w:rsidP="005A1643">
            <w:pPr>
              <w:autoSpaceDE w:val="0"/>
              <w:autoSpaceDN w:val="0"/>
              <w:adjustRightInd w:val="0"/>
              <w:jc w:val="both"/>
              <w:rPr>
                <w:rFonts w:cstheme="minorHAnsi"/>
                <w:color w:val="000000"/>
              </w:rPr>
            </w:pPr>
          </w:p>
        </w:tc>
        <w:tc>
          <w:tcPr>
            <w:tcW w:w="5382" w:type="dxa"/>
          </w:tcPr>
          <w:p w14:paraId="53D73121" w14:textId="5D7ABA5F" w:rsidR="005A1643" w:rsidRPr="0089409C" w:rsidRDefault="005A1643" w:rsidP="005A1643">
            <w:pPr>
              <w:autoSpaceDE w:val="0"/>
              <w:autoSpaceDN w:val="0"/>
              <w:adjustRightInd w:val="0"/>
              <w:jc w:val="both"/>
              <w:rPr>
                <w:rFonts w:cstheme="minorHAnsi"/>
                <w:color w:val="000000"/>
              </w:rPr>
            </w:pPr>
            <w:r>
              <w:rPr>
                <w:rFonts w:cstheme="minorHAnsi"/>
                <w:color w:val="000000"/>
              </w:rPr>
              <w:t>Kas seoses uue farmikompleksi ehitusega lõpeb Vaki-Kirikumõisa teed pidi suurte põllumasinate liiklus ära? Nii on võimalik aru saada farmi detailplaneeringust, kuna seda teed pole tulevikus farmile juurdepääsu teeks märgitud.</w:t>
            </w:r>
          </w:p>
        </w:tc>
        <w:tc>
          <w:tcPr>
            <w:tcW w:w="5021" w:type="dxa"/>
          </w:tcPr>
          <w:p w14:paraId="0184AF63" w14:textId="4DCFE54D" w:rsidR="005A1643" w:rsidRDefault="005A1643" w:rsidP="005A1643">
            <w:pPr>
              <w:pStyle w:val="BodyText"/>
              <w:rPr>
                <w:rFonts w:asciiTheme="minorHAnsi" w:hAnsiTheme="minorHAnsi"/>
                <w:sz w:val="22"/>
              </w:rPr>
            </w:pPr>
            <w:r>
              <w:rPr>
                <w:rFonts w:asciiTheme="minorHAnsi" w:hAnsiTheme="minorHAnsi"/>
                <w:sz w:val="22"/>
              </w:rPr>
              <w:t>Regulaarset liiklust ei ole Vaki-Kirikumõisa teele planeeritud. Erandiks on põldude teenindus.</w:t>
            </w:r>
          </w:p>
        </w:tc>
      </w:tr>
      <w:tr w:rsidR="005A1643" w:rsidRPr="00584155" w14:paraId="155E168F" w14:textId="77777777" w:rsidTr="005A1643">
        <w:tc>
          <w:tcPr>
            <w:tcW w:w="1025" w:type="dxa"/>
          </w:tcPr>
          <w:p w14:paraId="6833CDE3" w14:textId="043ADD6D" w:rsidR="005A1643" w:rsidRDefault="005A1643" w:rsidP="005A1643">
            <w:pPr>
              <w:rPr>
                <w:rFonts w:cstheme="minorHAnsi"/>
              </w:rPr>
            </w:pPr>
            <w:r>
              <w:rPr>
                <w:rFonts w:cstheme="minorHAnsi"/>
              </w:rPr>
              <w:t>2</w:t>
            </w:r>
          </w:p>
        </w:tc>
        <w:tc>
          <w:tcPr>
            <w:tcW w:w="2231" w:type="dxa"/>
          </w:tcPr>
          <w:p w14:paraId="059561E7" w14:textId="77777777" w:rsidR="005A1643" w:rsidRDefault="005A1643" w:rsidP="005A1643">
            <w:pPr>
              <w:autoSpaceDE w:val="0"/>
              <w:autoSpaceDN w:val="0"/>
              <w:adjustRightInd w:val="0"/>
              <w:jc w:val="both"/>
              <w:rPr>
                <w:rFonts w:cstheme="minorHAnsi"/>
                <w:color w:val="000000"/>
              </w:rPr>
            </w:pPr>
          </w:p>
        </w:tc>
        <w:tc>
          <w:tcPr>
            <w:tcW w:w="5382" w:type="dxa"/>
          </w:tcPr>
          <w:p w14:paraId="266E7CB2" w14:textId="400E746D" w:rsidR="005A1643" w:rsidRDefault="005A1643" w:rsidP="005A1643">
            <w:pPr>
              <w:autoSpaceDE w:val="0"/>
              <w:autoSpaceDN w:val="0"/>
              <w:adjustRightInd w:val="0"/>
              <w:jc w:val="both"/>
              <w:rPr>
                <w:rFonts w:cstheme="minorHAnsi"/>
                <w:color w:val="000000"/>
              </w:rPr>
            </w:pPr>
            <w:r>
              <w:rPr>
                <w:rFonts w:cstheme="minorHAnsi"/>
                <w:color w:val="000000"/>
              </w:rPr>
              <w:t>Millist teed pidi pääseb transport farmist Vihtra teele?</w:t>
            </w:r>
          </w:p>
        </w:tc>
        <w:tc>
          <w:tcPr>
            <w:tcW w:w="5021" w:type="dxa"/>
          </w:tcPr>
          <w:p w14:paraId="77B27C79" w14:textId="534DBD69" w:rsidR="005A1643" w:rsidRDefault="005A1643" w:rsidP="005A1643">
            <w:pPr>
              <w:pStyle w:val="BodyText"/>
              <w:rPr>
                <w:rFonts w:asciiTheme="minorHAnsi" w:hAnsiTheme="minorHAnsi"/>
                <w:sz w:val="22"/>
              </w:rPr>
            </w:pPr>
            <w:r>
              <w:rPr>
                <w:rFonts w:asciiTheme="minorHAnsi" w:hAnsiTheme="minorHAnsi"/>
                <w:sz w:val="22"/>
              </w:rPr>
              <w:t>Planeeritud transport farmist Vihtra teele kulgeb Nurmesalu kinnistu põhja ja idaküljelt.</w:t>
            </w:r>
          </w:p>
        </w:tc>
      </w:tr>
      <w:tr w:rsidR="005A1643" w:rsidRPr="00584155" w14:paraId="741EE27D" w14:textId="77777777" w:rsidTr="005A1643">
        <w:tc>
          <w:tcPr>
            <w:tcW w:w="1025" w:type="dxa"/>
          </w:tcPr>
          <w:p w14:paraId="00817BF1" w14:textId="6B47D37B" w:rsidR="005A1643" w:rsidRDefault="005A1643" w:rsidP="005A1643">
            <w:pPr>
              <w:rPr>
                <w:rFonts w:cstheme="minorHAnsi"/>
              </w:rPr>
            </w:pPr>
            <w:r>
              <w:rPr>
                <w:rFonts w:cstheme="minorHAnsi"/>
              </w:rPr>
              <w:t>3</w:t>
            </w:r>
          </w:p>
        </w:tc>
        <w:tc>
          <w:tcPr>
            <w:tcW w:w="2231" w:type="dxa"/>
          </w:tcPr>
          <w:p w14:paraId="0A5294B7" w14:textId="77777777" w:rsidR="005A1643" w:rsidRDefault="005A1643" w:rsidP="005A1643">
            <w:pPr>
              <w:autoSpaceDE w:val="0"/>
              <w:autoSpaceDN w:val="0"/>
              <w:adjustRightInd w:val="0"/>
              <w:jc w:val="both"/>
              <w:rPr>
                <w:rFonts w:cstheme="minorHAnsi"/>
                <w:color w:val="000000"/>
              </w:rPr>
            </w:pPr>
          </w:p>
        </w:tc>
        <w:tc>
          <w:tcPr>
            <w:tcW w:w="5382" w:type="dxa"/>
          </w:tcPr>
          <w:p w14:paraId="027C7970" w14:textId="4ED98866" w:rsidR="005A1643" w:rsidRDefault="005A1643" w:rsidP="005A1643">
            <w:pPr>
              <w:autoSpaceDE w:val="0"/>
              <w:autoSpaceDN w:val="0"/>
              <w:adjustRightInd w:val="0"/>
              <w:jc w:val="both"/>
              <w:rPr>
                <w:rFonts w:cstheme="minorHAnsi"/>
                <w:color w:val="000000"/>
              </w:rPr>
            </w:pPr>
            <w:r>
              <w:rPr>
                <w:rFonts w:cstheme="minorHAnsi"/>
                <w:color w:val="000000"/>
              </w:rPr>
              <w:t>Kui liiklus jääb sellele teele edasi ja ilmselt ka mitmeid kordi suurema koormusega, siis millised plaanid on Põhja-Pärnumaa vallal seoses selle tee remondiga.</w:t>
            </w:r>
          </w:p>
        </w:tc>
        <w:tc>
          <w:tcPr>
            <w:tcW w:w="5021" w:type="dxa"/>
          </w:tcPr>
          <w:p w14:paraId="7C4B6998" w14:textId="60BDB68E" w:rsidR="005A1643" w:rsidRDefault="007D6B5C" w:rsidP="005A1643">
            <w:pPr>
              <w:pStyle w:val="BodyText"/>
              <w:rPr>
                <w:rFonts w:asciiTheme="minorHAnsi" w:hAnsiTheme="minorHAnsi"/>
                <w:sz w:val="22"/>
              </w:rPr>
            </w:pPr>
            <w:r w:rsidRPr="00755E0B">
              <w:rPr>
                <w:rFonts w:asciiTheme="minorHAnsi" w:hAnsiTheme="minorHAnsi"/>
                <w:sz w:val="22"/>
              </w:rPr>
              <w:t>Liikluskoormuse suurenemist ei ole ette näha, sest kogu farmitransport tuleb suunata moodustatava Raudteetammi tee peale (olemasolev lõik on 9300114 Raudteetammi tee L2 92901:001:0122). Vald teostab antud Nurmesalu kinnistu (</w:t>
            </w:r>
            <w:r w:rsidR="00691FD9" w:rsidRPr="00755E0B">
              <w:rPr>
                <w:rFonts w:asciiTheme="minorHAnsi" w:hAnsiTheme="minorHAnsi"/>
                <w:sz w:val="22"/>
              </w:rPr>
              <w:t xml:space="preserve">93002:002:0089) ees </w:t>
            </w:r>
            <w:r w:rsidR="00691FD9" w:rsidRPr="00755E0B">
              <w:rPr>
                <w:rFonts w:asciiTheme="minorHAnsi" w:hAnsiTheme="minorHAnsi"/>
                <w:sz w:val="22"/>
              </w:rPr>
              <w:lastRenderedPageBreak/>
              <w:t>kulgeval avaliku kasutusega teel hoonete läheduses tolmutõrjet ka tulevikus. Teehoiukavas ei ole  lähiaastatel ette nähtud mustkatte paigaldamist.</w:t>
            </w:r>
          </w:p>
        </w:tc>
      </w:tr>
      <w:tr w:rsidR="005A1643" w:rsidRPr="00584155" w14:paraId="3FE01985" w14:textId="77777777" w:rsidTr="005A1643">
        <w:tc>
          <w:tcPr>
            <w:tcW w:w="1025" w:type="dxa"/>
          </w:tcPr>
          <w:p w14:paraId="0F5BB239" w14:textId="3CA175C4" w:rsidR="005A1643" w:rsidRDefault="005A1643" w:rsidP="005A1643">
            <w:pPr>
              <w:rPr>
                <w:rFonts w:cstheme="minorHAnsi"/>
              </w:rPr>
            </w:pPr>
            <w:r>
              <w:rPr>
                <w:rFonts w:cstheme="minorHAnsi"/>
              </w:rPr>
              <w:lastRenderedPageBreak/>
              <w:t>4</w:t>
            </w:r>
          </w:p>
        </w:tc>
        <w:tc>
          <w:tcPr>
            <w:tcW w:w="2231" w:type="dxa"/>
          </w:tcPr>
          <w:p w14:paraId="6911DB59" w14:textId="77777777" w:rsidR="005A1643" w:rsidRDefault="005A1643" w:rsidP="005A1643">
            <w:pPr>
              <w:autoSpaceDE w:val="0"/>
              <w:autoSpaceDN w:val="0"/>
              <w:adjustRightInd w:val="0"/>
              <w:jc w:val="both"/>
              <w:rPr>
                <w:rFonts w:cstheme="minorHAnsi"/>
                <w:color w:val="000000"/>
              </w:rPr>
            </w:pPr>
          </w:p>
        </w:tc>
        <w:tc>
          <w:tcPr>
            <w:tcW w:w="5382" w:type="dxa"/>
          </w:tcPr>
          <w:p w14:paraId="4BD0F97E" w14:textId="1D1FD3ED" w:rsidR="005A1643" w:rsidRDefault="005A1643" w:rsidP="005A1643">
            <w:pPr>
              <w:autoSpaceDE w:val="0"/>
              <w:autoSpaceDN w:val="0"/>
              <w:adjustRightInd w:val="0"/>
              <w:jc w:val="both"/>
              <w:rPr>
                <w:rFonts w:cstheme="minorHAnsi"/>
                <w:color w:val="000000"/>
              </w:rPr>
            </w:pPr>
            <w:r>
              <w:rPr>
                <w:rFonts w:cstheme="minorHAnsi"/>
                <w:color w:val="000000"/>
              </w:rPr>
              <w:t>Kuidas mõista punkt 4.1 lõpulauset: „Detailplaneeringuga tehakse ettepanek olemasolevate katastriüksuste ümberkruntimiseks ja sihtotstarbe muutmiseks.“ Milliseid katastriüksuseid see puudutab?</w:t>
            </w:r>
          </w:p>
        </w:tc>
        <w:tc>
          <w:tcPr>
            <w:tcW w:w="5021" w:type="dxa"/>
          </w:tcPr>
          <w:p w14:paraId="2B0026E0" w14:textId="3A269A00" w:rsidR="005A1643" w:rsidRDefault="005A1643" w:rsidP="005A1643">
            <w:pPr>
              <w:pStyle w:val="BodyText"/>
              <w:rPr>
                <w:rFonts w:asciiTheme="minorHAnsi" w:hAnsiTheme="minorHAnsi"/>
                <w:sz w:val="22"/>
              </w:rPr>
            </w:pPr>
            <w:r>
              <w:rPr>
                <w:rFonts w:asciiTheme="minorHAnsi" w:hAnsiTheme="minorHAnsi"/>
                <w:sz w:val="22"/>
              </w:rPr>
              <w:t>Ümberkruntimise ja sihtotstarvete muutmise ettepanek tehakse detailplaneeringuga vaid planeeringualal asuvatele katastriüksustele.</w:t>
            </w:r>
          </w:p>
        </w:tc>
      </w:tr>
      <w:tr w:rsidR="00691FD9" w:rsidRPr="00584155" w14:paraId="636CBF4F" w14:textId="77777777" w:rsidTr="005A1643">
        <w:tc>
          <w:tcPr>
            <w:tcW w:w="1025" w:type="dxa"/>
          </w:tcPr>
          <w:p w14:paraId="177720CE" w14:textId="20D682D8" w:rsidR="00691FD9" w:rsidRPr="006D589B" w:rsidRDefault="00694A25" w:rsidP="005A1643">
            <w:pPr>
              <w:rPr>
                <w:rFonts w:cstheme="minorHAnsi"/>
                <w:b/>
                <w:bCs/>
              </w:rPr>
            </w:pPr>
            <w:r w:rsidRPr="006D589B">
              <w:rPr>
                <w:rFonts w:cstheme="minorHAnsi"/>
                <w:b/>
                <w:bCs/>
              </w:rPr>
              <w:t>Jrk nr</w:t>
            </w:r>
          </w:p>
        </w:tc>
        <w:tc>
          <w:tcPr>
            <w:tcW w:w="2231" w:type="dxa"/>
          </w:tcPr>
          <w:p w14:paraId="50324126" w14:textId="2962B5BE" w:rsidR="00691FD9" w:rsidRPr="00914D65" w:rsidRDefault="00914D65" w:rsidP="005A1643">
            <w:pPr>
              <w:autoSpaceDE w:val="0"/>
              <w:autoSpaceDN w:val="0"/>
              <w:adjustRightInd w:val="0"/>
              <w:jc w:val="both"/>
              <w:rPr>
                <w:rFonts w:cstheme="minorHAnsi"/>
                <w:b/>
                <w:bCs/>
                <w:color w:val="000000"/>
              </w:rPr>
            </w:pPr>
            <w:r w:rsidRPr="00914D65">
              <w:rPr>
                <w:rFonts w:cstheme="minorHAnsi"/>
                <w:b/>
                <w:bCs/>
                <w:color w:val="000000"/>
              </w:rPr>
              <w:t>7-2/405-</w:t>
            </w:r>
            <w:r>
              <w:rPr>
                <w:rFonts w:cstheme="minorHAnsi"/>
                <w:b/>
                <w:bCs/>
                <w:color w:val="000000"/>
              </w:rPr>
              <w:t>20</w:t>
            </w:r>
          </w:p>
        </w:tc>
        <w:tc>
          <w:tcPr>
            <w:tcW w:w="5382" w:type="dxa"/>
          </w:tcPr>
          <w:p w14:paraId="32FA1F21" w14:textId="777FD180" w:rsidR="00691FD9" w:rsidRPr="00755E0B" w:rsidRDefault="00914D65" w:rsidP="005A1643">
            <w:pPr>
              <w:autoSpaceDE w:val="0"/>
              <w:autoSpaceDN w:val="0"/>
              <w:adjustRightInd w:val="0"/>
              <w:jc w:val="both"/>
              <w:rPr>
                <w:rFonts w:cstheme="minorHAnsi"/>
                <w:b/>
                <w:bCs/>
                <w:color w:val="000000"/>
              </w:rPr>
            </w:pPr>
            <w:r w:rsidRPr="00755E0B">
              <w:rPr>
                <w:rFonts w:cstheme="minorHAnsi"/>
                <w:b/>
                <w:bCs/>
                <w:color w:val="000000"/>
              </w:rPr>
              <w:t>Maa-amet</w:t>
            </w:r>
          </w:p>
        </w:tc>
        <w:tc>
          <w:tcPr>
            <w:tcW w:w="5021" w:type="dxa"/>
          </w:tcPr>
          <w:p w14:paraId="4089040A" w14:textId="7684DC23" w:rsidR="00691FD9" w:rsidRPr="00755E0B" w:rsidRDefault="004155BF" w:rsidP="005A1643">
            <w:pPr>
              <w:pStyle w:val="BodyText"/>
              <w:rPr>
                <w:rFonts w:asciiTheme="minorHAnsi" w:hAnsiTheme="minorHAnsi" w:cstheme="minorHAnsi"/>
                <w:sz w:val="22"/>
              </w:rPr>
            </w:pPr>
            <w:r w:rsidRPr="00755E0B">
              <w:rPr>
                <w:rFonts w:asciiTheme="minorHAnsi" w:hAnsiTheme="minorHAnsi" w:cstheme="minorHAnsi"/>
                <w:b/>
                <w:bCs/>
                <w:sz w:val="22"/>
              </w:rPr>
              <w:t>Seisukohaga arvestamine/arvestamata jätmine</w:t>
            </w:r>
          </w:p>
        </w:tc>
      </w:tr>
      <w:tr w:rsidR="00914D65" w:rsidRPr="00584155" w14:paraId="061DE836" w14:textId="77777777" w:rsidTr="005A1643">
        <w:tc>
          <w:tcPr>
            <w:tcW w:w="1025" w:type="dxa"/>
          </w:tcPr>
          <w:p w14:paraId="01405E57" w14:textId="18CE6F8F" w:rsidR="00914D65" w:rsidRPr="006D589B" w:rsidRDefault="006D589B" w:rsidP="005A1643">
            <w:pPr>
              <w:rPr>
                <w:rFonts w:cstheme="minorHAnsi"/>
              </w:rPr>
            </w:pPr>
            <w:r w:rsidRPr="006D589B">
              <w:rPr>
                <w:rFonts w:cstheme="minorHAnsi"/>
              </w:rPr>
              <w:t>1</w:t>
            </w:r>
          </w:p>
        </w:tc>
        <w:tc>
          <w:tcPr>
            <w:tcW w:w="2231" w:type="dxa"/>
          </w:tcPr>
          <w:p w14:paraId="1D6FDA9E" w14:textId="762EE5C5" w:rsidR="00914D65" w:rsidRPr="006D589B" w:rsidRDefault="00914D65" w:rsidP="005A1643">
            <w:pPr>
              <w:autoSpaceDE w:val="0"/>
              <w:autoSpaceDN w:val="0"/>
              <w:adjustRightInd w:val="0"/>
              <w:jc w:val="both"/>
              <w:rPr>
                <w:rFonts w:cstheme="minorHAnsi"/>
                <w:color w:val="000000"/>
              </w:rPr>
            </w:pPr>
            <w:r w:rsidRPr="006D589B">
              <w:rPr>
                <w:rFonts w:cstheme="minorHAnsi"/>
                <w:color w:val="000000"/>
              </w:rPr>
              <w:t>12.04.2024 nr 6-3/22/11552-7</w:t>
            </w:r>
          </w:p>
        </w:tc>
        <w:tc>
          <w:tcPr>
            <w:tcW w:w="5382" w:type="dxa"/>
          </w:tcPr>
          <w:p w14:paraId="512094F6" w14:textId="7A519146" w:rsidR="00914D65" w:rsidRPr="006D589B" w:rsidRDefault="00914D65" w:rsidP="006D589B">
            <w:pPr>
              <w:pStyle w:val="Default"/>
              <w:jc w:val="both"/>
              <w:rPr>
                <w:rFonts w:asciiTheme="minorHAnsi" w:hAnsiTheme="minorHAnsi" w:cstheme="minorHAnsi"/>
                <w:sz w:val="22"/>
                <w:szCs w:val="22"/>
              </w:rPr>
            </w:pPr>
            <w:r w:rsidRPr="006D589B">
              <w:rPr>
                <w:rFonts w:asciiTheme="minorHAnsi" w:hAnsiTheme="minorHAnsi" w:cstheme="minorHAnsi"/>
                <w:sz w:val="22"/>
                <w:szCs w:val="22"/>
              </w:rPr>
              <w:t xml:space="preserve">Detailplaneeringule jäävad kohaliku võrgu märgid nr 4134 ja nr 9342. Geodeetiliste märkide kaitsevöönd on 3 meetrit märgi keskmest. </w:t>
            </w:r>
          </w:p>
          <w:p w14:paraId="67229CEA" w14:textId="69FF779B" w:rsidR="00914D65" w:rsidRPr="006D589B" w:rsidRDefault="00914D65" w:rsidP="006D589B">
            <w:pPr>
              <w:autoSpaceDE w:val="0"/>
              <w:autoSpaceDN w:val="0"/>
              <w:adjustRightInd w:val="0"/>
              <w:jc w:val="both"/>
              <w:rPr>
                <w:rFonts w:cstheme="minorHAnsi"/>
                <w:color w:val="000000"/>
              </w:rPr>
            </w:pPr>
            <w:r w:rsidRPr="006D589B">
              <w:rPr>
                <w:rFonts w:cstheme="minorHAnsi"/>
              </w:rPr>
              <w:t>Maa-ametil ei ole vastuväiteid 04.04.2024 kirjaga nr 7-2/405-18 edastatud Sõõrike farmi detailplaneeringu eskiislahenduse osas.</w:t>
            </w:r>
          </w:p>
        </w:tc>
        <w:tc>
          <w:tcPr>
            <w:tcW w:w="5021" w:type="dxa"/>
          </w:tcPr>
          <w:p w14:paraId="35EAA738" w14:textId="3ACBB6A5" w:rsidR="00914D65" w:rsidRPr="006D589B" w:rsidRDefault="00914D65" w:rsidP="005A1643">
            <w:pPr>
              <w:pStyle w:val="BodyText"/>
              <w:rPr>
                <w:rFonts w:asciiTheme="minorHAnsi" w:hAnsiTheme="minorHAnsi" w:cstheme="minorHAnsi"/>
                <w:color w:val="FF0000"/>
                <w:sz w:val="22"/>
              </w:rPr>
            </w:pPr>
            <w:r w:rsidRPr="006D589B">
              <w:rPr>
                <w:rFonts w:asciiTheme="minorHAnsi" w:hAnsiTheme="minorHAnsi" w:cstheme="minorHAnsi"/>
                <w:sz w:val="22"/>
              </w:rPr>
              <w:t>Võetud teadmiseks.</w:t>
            </w:r>
          </w:p>
        </w:tc>
      </w:tr>
    </w:tbl>
    <w:p w14:paraId="0DD042CD" w14:textId="77777777" w:rsidR="006D396C" w:rsidRDefault="006D396C"/>
    <w:sectPr w:rsidR="006D396C" w:rsidSect="009F38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1581" w14:textId="77777777" w:rsidR="005B6364" w:rsidRDefault="005B6364" w:rsidP="00AC019A">
      <w:pPr>
        <w:spacing w:after="0" w:line="240" w:lineRule="auto"/>
      </w:pPr>
      <w:r>
        <w:separator/>
      </w:r>
    </w:p>
  </w:endnote>
  <w:endnote w:type="continuationSeparator" w:id="0">
    <w:p w14:paraId="5B5F0225" w14:textId="77777777" w:rsidR="005B6364" w:rsidRDefault="005B6364" w:rsidP="00AC019A">
      <w:pPr>
        <w:spacing w:after="0" w:line="240" w:lineRule="auto"/>
      </w:pPr>
      <w:r>
        <w:continuationSeparator/>
      </w:r>
    </w:p>
  </w:endnote>
  <w:endnote w:type="continuationNotice" w:id="1">
    <w:p w14:paraId="0B9A818C" w14:textId="77777777" w:rsidR="005B6364" w:rsidRDefault="005B6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5EA1" w14:textId="77777777" w:rsidR="005B6364" w:rsidRDefault="005B6364" w:rsidP="00AC019A">
      <w:pPr>
        <w:spacing w:after="0" w:line="240" w:lineRule="auto"/>
      </w:pPr>
      <w:r>
        <w:separator/>
      </w:r>
    </w:p>
  </w:footnote>
  <w:footnote w:type="continuationSeparator" w:id="0">
    <w:p w14:paraId="22BD9F86" w14:textId="77777777" w:rsidR="005B6364" w:rsidRDefault="005B6364" w:rsidP="00AC019A">
      <w:pPr>
        <w:spacing w:after="0" w:line="240" w:lineRule="auto"/>
      </w:pPr>
      <w:r>
        <w:continuationSeparator/>
      </w:r>
    </w:p>
  </w:footnote>
  <w:footnote w:type="continuationNotice" w:id="1">
    <w:p w14:paraId="3E7C7AD4" w14:textId="77777777" w:rsidR="005B6364" w:rsidRDefault="005B63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1022"/>
    <w:multiLevelType w:val="hybridMultilevel"/>
    <w:tmpl w:val="0BF06B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C9B3292"/>
    <w:multiLevelType w:val="hybridMultilevel"/>
    <w:tmpl w:val="F2925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9F61A4"/>
    <w:multiLevelType w:val="hybridMultilevel"/>
    <w:tmpl w:val="664CD3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08748455">
    <w:abstractNumId w:val="1"/>
  </w:num>
  <w:num w:numId="2" w16cid:durableId="511723915">
    <w:abstractNumId w:val="2"/>
  </w:num>
  <w:num w:numId="3" w16cid:durableId="41432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6C"/>
    <w:rsid w:val="0001174F"/>
    <w:rsid w:val="0002266F"/>
    <w:rsid w:val="00025983"/>
    <w:rsid w:val="00044A89"/>
    <w:rsid w:val="0005293A"/>
    <w:rsid w:val="000530C4"/>
    <w:rsid w:val="000564A7"/>
    <w:rsid w:val="00082681"/>
    <w:rsid w:val="00097225"/>
    <w:rsid w:val="000A6840"/>
    <w:rsid w:val="000D4E45"/>
    <w:rsid w:val="000D781A"/>
    <w:rsid w:val="000D7F5F"/>
    <w:rsid w:val="000E1B28"/>
    <w:rsid w:val="000F720F"/>
    <w:rsid w:val="00100E23"/>
    <w:rsid w:val="0010344B"/>
    <w:rsid w:val="001042A4"/>
    <w:rsid w:val="00104BCA"/>
    <w:rsid w:val="00121B66"/>
    <w:rsid w:val="001574BA"/>
    <w:rsid w:val="00157E1F"/>
    <w:rsid w:val="0018541B"/>
    <w:rsid w:val="00185BA6"/>
    <w:rsid w:val="00187DA8"/>
    <w:rsid w:val="001942A2"/>
    <w:rsid w:val="001A5F4E"/>
    <w:rsid w:val="001C642B"/>
    <w:rsid w:val="001D6CFD"/>
    <w:rsid w:val="001F0FE9"/>
    <w:rsid w:val="001F2740"/>
    <w:rsid w:val="00205E57"/>
    <w:rsid w:val="00215715"/>
    <w:rsid w:val="00224FD2"/>
    <w:rsid w:val="00240347"/>
    <w:rsid w:val="00240DE2"/>
    <w:rsid w:val="00270013"/>
    <w:rsid w:val="00280267"/>
    <w:rsid w:val="00291413"/>
    <w:rsid w:val="002959F8"/>
    <w:rsid w:val="002A0AA3"/>
    <w:rsid w:val="002D64F5"/>
    <w:rsid w:val="00301731"/>
    <w:rsid w:val="003044C1"/>
    <w:rsid w:val="00310881"/>
    <w:rsid w:val="00324318"/>
    <w:rsid w:val="003365FF"/>
    <w:rsid w:val="003409CE"/>
    <w:rsid w:val="00340F77"/>
    <w:rsid w:val="0034218E"/>
    <w:rsid w:val="00347E83"/>
    <w:rsid w:val="00352552"/>
    <w:rsid w:val="003568C3"/>
    <w:rsid w:val="003616D7"/>
    <w:rsid w:val="0036736A"/>
    <w:rsid w:val="003A672C"/>
    <w:rsid w:val="003D3560"/>
    <w:rsid w:val="003E43E2"/>
    <w:rsid w:val="003F4973"/>
    <w:rsid w:val="003F66D7"/>
    <w:rsid w:val="0040026A"/>
    <w:rsid w:val="00403BAE"/>
    <w:rsid w:val="004155BF"/>
    <w:rsid w:val="00424BE7"/>
    <w:rsid w:val="00430584"/>
    <w:rsid w:val="00443DDC"/>
    <w:rsid w:val="00451B42"/>
    <w:rsid w:val="00472DBE"/>
    <w:rsid w:val="00477788"/>
    <w:rsid w:val="00491066"/>
    <w:rsid w:val="004B2ED5"/>
    <w:rsid w:val="004B449F"/>
    <w:rsid w:val="004B697F"/>
    <w:rsid w:val="004C2223"/>
    <w:rsid w:val="004D4E34"/>
    <w:rsid w:val="004E64EE"/>
    <w:rsid w:val="004F1B3B"/>
    <w:rsid w:val="00501F1B"/>
    <w:rsid w:val="00505063"/>
    <w:rsid w:val="0052144F"/>
    <w:rsid w:val="005244BF"/>
    <w:rsid w:val="00524A39"/>
    <w:rsid w:val="0053270B"/>
    <w:rsid w:val="00551459"/>
    <w:rsid w:val="005603D4"/>
    <w:rsid w:val="00560B64"/>
    <w:rsid w:val="0056335A"/>
    <w:rsid w:val="00563D43"/>
    <w:rsid w:val="005722F9"/>
    <w:rsid w:val="00576D5A"/>
    <w:rsid w:val="00584155"/>
    <w:rsid w:val="00591FCE"/>
    <w:rsid w:val="005A1643"/>
    <w:rsid w:val="005B6364"/>
    <w:rsid w:val="005C0101"/>
    <w:rsid w:val="005C1B98"/>
    <w:rsid w:val="005F771E"/>
    <w:rsid w:val="005F77A8"/>
    <w:rsid w:val="0061491B"/>
    <w:rsid w:val="00623D22"/>
    <w:rsid w:val="0063091D"/>
    <w:rsid w:val="0064003C"/>
    <w:rsid w:val="00652C5E"/>
    <w:rsid w:val="0068198F"/>
    <w:rsid w:val="00681A14"/>
    <w:rsid w:val="00681B8C"/>
    <w:rsid w:val="00691FD9"/>
    <w:rsid w:val="00694A25"/>
    <w:rsid w:val="006A541F"/>
    <w:rsid w:val="006A6EF4"/>
    <w:rsid w:val="006B3ADD"/>
    <w:rsid w:val="006B3D13"/>
    <w:rsid w:val="006C1AE2"/>
    <w:rsid w:val="006D2992"/>
    <w:rsid w:val="006D396C"/>
    <w:rsid w:val="006D589B"/>
    <w:rsid w:val="006D796F"/>
    <w:rsid w:val="006E71D1"/>
    <w:rsid w:val="006F1E81"/>
    <w:rsid w:val="007215E0"/>
    <w:rsid w:val="0072596A"/>
    <w:rsid w:val="00731FFD"/>
    <w:rsid w:val="00736E9B"/>
    <w:rsid w:val="0073791A"/>
    <w:rsid w:val="00744D67"/>
    <w:rsid w:val="007549BA"/>
    <w:rsid w:val="007555FC"/>
    <w:rsid w:val="00755E0B"/>
    <w:rsid w:val="0077021F"/>
    <w:rsid w:val="00770D82"/>
    <w:rsid w:val="00782C94"/>
    <w:rsid w:val="007A3A06"/>
    <w:rsid w:val="007A4349"/>
    <w:rsid w:val="007A7AEF"/>
    <w:rsid w:val="007C083D"/>
    <w:rsid w:val="007C093F"/>
    <w:rsid w:val="007D6B5C"/>
    <w:rsid w:val="007D77FB"/>
    <w:rsid w:val="007E5F4A"/>
    <w:rsid w:val="007F0EFB"/>
    <w:rsid w:val="007F7BBD"/>
    <w:rsid w:val="00803F56"/>
    <w:rsid w:val="00805EB1"/>
    <w:rsid w:val="00807939"/>
    <w:rsid w:val="00827050"/>
    <w:rsid w:val="00831460"/>
    <w:rsid w:val="00850EA5"/>
    <w:rsid w:val="00852D0F"/>
    <w:rsid w:val="00884C80"/>
    <w:rsid w:val="00886E5C"/>
    <w:rsid w:val="0089409C"/>
    <w:rsid w:val="00895099"/>
    <w:rsid w:val="008A0426"/>
    <w:rsid w:val="008A5A73"/>
    <w:rsid w:val="008A79B3"/>
    <w:rsid w:val="008B4AC2"/>
    <w:rsid w:val="008B7B6A"/>
    <w:rsid w:val="008C16F2"/>
    <w:rsid w:val="008C4867"/>
    <w:rsid w:val="008C5FE3"/>
    <w:rsid w:val="008D1ADF"/>
    <w:rsid w:val="008D7856"/>
    <w:rsid w:val="008D7AF6"/>
    <w:rsid w:val="008E2B6D"/>
    <w:rsid w:val="009056AD"/>
    <w:rsid w:val="00905E24"/>
    <w:rsid w:val="00911A84"/>
    <w:rsid w:val="00914D65"/>
    <w:rsid w:val="009155CF"/>
    <w:rsid w:val="009338D0"/>
    <w:rsid w:val="0093585C"/>
    <w:rsid w:val="009426B4"/>
    <w:rsid w:val="00957316"/>
    <w:rsid w:val="0097350D"/>
    <w:rsid w:val="009A78C4"/>
    <w:rsid w:val="009B65FC"/>
    <w:rsid w:val="009C33FF"/>
    <w:rsid w:val="009D2F30"/>
    <w:rsid w:val="009E4F52"/>
    <w:rsid w:val="009E52D8"/>
    <w:rsid w:val="009F38A4"/>
    <w:rsid w:val="009F6031"/>
    <w:rsid w:val="00A11D6F"/>
    <w:rsid w:val="00A53924"/>
    <w:rsid w:val="00A53F7E"/>
    <w:rsid w:val="00A72E3A"/>
    <w:rsid w:val="00A80A61"/>
    <w:rsid w:val="00A860BD"/>
    <w:rsid w:val="00A87368"/>
    <w:rsid w:val="00AB6411"/>
    <w:rsid w:val="00AC019A"/>
    <w:rsid w:val="00AC7096"/>
    <w:rsid w:val="00AD0013"/>
    <w:rsid w:val="00AE1A28"/>
    <w:rsid w:val="00AF3808"/>
    <w:rsid w:val="00AF3DD7"/>
    <w:rsid w:val="00B271E6"/>
    <w:rsid w:val="00B27884"/>
    <w:rsid w:val="00B4303C"/>
    <w:rsid w:val="00B43F7E"/>
    <w:rsid w:val="00B646AB"/>
    <w:rsid w:val="00B92ED2"/>
    <w:rsid w:val="00BA1168"/>
    <w:rsid w:val="00BA48F6"/>
    <w:rsid w:val="00BD7E71"/>
    <w:rsid w:val="00BE31D1"/>
    <w:rsid w:val="00C064BC"/>
    <w:rsid w:val="00C31DD6"/>
    <w:rsid w:val="00C50949"/>
    <w:rsid w:val="00C50FAD"/>
    <w:rsid w:val="00C52F62"/>
    <w:rsid w:val="00C5411D"/>
    <w:rsid w:val="00C61ED1"/>
    <w:rsid w:val="00C62467"/>
    <w:rsid w:val="00C66CB4"/>
    <w:rsid w:val="00C72EFD"/>
    <w:rsid w:val="00C73F36"/>
    <w:rsid w:val="00C760A9"/>
    <w:rsid w:val="00C93EAE"/>
    <w:rsid w:val="00C966F8"/>
    <w:rsid w:val="00CA1F04"/>
    <w:rsid w:val="00CB4E49"/>
    <w:rsid w:val="00CC5D7B"/>
    <w:rsid w:val="00CE5AE4"/>
    <w:rsid w:val="00CF5D59"/>
    <w:rsid w:val="00D00CAB"/>
    <w:rsid w:val="00D250E3"/>
    <w:rsid w:val="00D2586B"/>
    <w:rsid w:val="00D26F91"/>
    <w:rsid w:val="00D2795F"/>
    <w:rsid w:val="00D33933"/>
    <w:rsid w:val="00D35BCF"/>
    <w:rsid w:val="00D51B83"/>
    <w:rsid w:val="00D554E0"/>
    <w:rsid w:val="00D60ACC"/>
    <w:rsid w:val="00D620DA"/>
    <w:rsid w:val="00D87744"/>
    <w:rsid w:val="00D96E4B"/>
    <w:rsid w:val="00D97F37"/>
    <w:rsid w:val="00DE32C2"/>
    <w:rsid w:val="00DE6B3B"/>
    <w:rsid w:val="00DF2EFB"/>
    <w:rsid w:val="00E0710D"/>
    <w:rsid w:val="00E07513"/>
    <w:rsid w:val="00E113FF"/>
    <w:rsid w:val="00E13F26"/>
    <w:rsid w:val="00E16A82"/>
    <w:rsid w:val="00E32115"/>
    <w:rsid w:val="00E56B0F"/>
    <w:rsid w:val="00E70188"/>
    <w:rsid w:val="00E70C1E"/>
    <w:rsid w:val="00EA03B0"/>
    <w:rsid w:val="00EB30F3"/>
    <w:rsid w:val="00EC7276"/>
    <w:rsid w:val="00EF616F"/>
    <w:rsid w:val="00F10C2E"/>
    <w:rsid w:val="00F15EA8"/>
    <w:rsid w:val="00F23728"/>
    <w:rsid w:val="00F4427C"/>
    <w:rsid w:val="00F4556F"/>
    <w:rsid w:val="00F466FB"/>
    <w:rsid w:val="00F8141D"/>
    <w:rsid w:val="00F8187E"/>
    <w:rsid w:val="00F94AE8"/>
    <w:rsid w:val="00FB710F"/>
    <w:rsid w:val="00FF578F"/>
    <w:rsid w:val="018DE740"/>
    <w:rsid w:val="018E577F"/>
    <w:rsid w:val="023B75A4"/>
    <w:rsid w:val="04C5F841"/>
    <w:rsid w:val="075C1FEC"/>
    <w:rsid w:val="088E11AB"/>
    <w:rsid w:val="0DB78C8A"/>
    <w:rsid w:val="0E4E2DBE"/>
    <w:rsid w:val="12F19DAB"/>
    <w:rsid w:val="132150B4"/>
    <w:rsid w:val="1327234D"/>
    <w:rsid w:val="132C7C05"/>
    <w:rsid w:val="16293E6D"/>
    <w:rsid w:val="1F1E01DA"/>
    <w:rsid w:val="1F44708A"/>
    <w:rsid w:val="20FA81B4"/>
    <w:rsid w:val="2429BF36"/>
    <w:rsid w:val="244B7BB6"/>
    <w:rsid w:val="253F0DC6"/>
    <w:rsid w:val="29C29BAC"/>
    <w:rsid w:val="2AB2121A"/>
    <w:rsid w:val="2B010528"/>
    <w:rsid w:val="2B3FD963"/>
    <w:rsid w:val="38B2C89B"/>
    <w:rsid w:val="3DE22DFB"/>
    <w:rsid w:val="408D6985"/>
    <w:rsid w:val="41119BA7"/>
    <w:rsid w:val="416683B2"/>
    <w:rsid w:val="44E00C8F"/>
    <w:rsid w:val="453FD9BA"/>
    <w:rsid w:val="4601051D"/>
    <w:rsid w:val="460E314E"/>
    <w:rsid w:val="46DBAA1B"/>
    <w:rsid w:val="4AA788A6"/>
    <w:rsid w:val="4AF6740E"/>
    <w:rsid w:val="4AFC149B"/>
    <w:rsid w:val="4DDF7E1E"/>
    <w:rsid w:val="4EEA7574"/>
    <w:rsid w:val="4F3B0020"/>
    <w:rsid w:val="51553971"/>
    <w:rsid w:val="52B52F59"/>
    <w:rsid w:val="553CD527"/>
    <w:rsid w:val="55ECD01B"/>
    <w:rsid w:val="59FDDEC3"/>
    <w:rsid w:val="5ADE7FF8"/>
    <w:rsid w:val="613D31C4"/>
    <w:rsid w:val="631500B9"/>
    <w:rsid w:val="63436DB7"/>
    <w:rsid w:val="65A69684"/>
    <w:rsid w:val="697E25B8"/>
    <w:rsid w:val="69D7BC15"/>
    <w:rsid w:val="6B19F619"/>
    <w:rsid w:val="6E49E51F"/>
    <w:rsid w:val="73DA6D8A"/>
    <w:rsid w:val="755D3A9C"/>
    <w:rsid w:val="794FEA74"/>
    <w:rsid w:val="7D7D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0F42"/>
  <w15:chartTrackingRefBased/>
  <w15:docId w15:val="{63698A32-526E-4D35-8ECA-6E92F3CE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6C"/>
    <w:rPr>
      <w:sz w:val="16"/>
      <w:szCs w:val="16"/>
    </w:rPr>
  </w:style>
  <w:style w:type="paragraph" w:styleId="CommentText">
    <w:name w:val="annotation text"/>
    <w:basedOn w:val="Normal"/>
    <w:link w:val="CommentTextChar"/>
    <w:uiPriority w:val="99"/>
    <w:unhideWhenUsed/>
    <w:rsid w:val="006D396C"/>
    <w:pPr>
      <w:spacing w:line="240" w:lineRule="auto"/>
    </w:pPr>
    <w:rPr>
      <w:sz w:val="20"/>
      <w:szCs w:val="20"/>
    </w:rPr>
  </w:style>
  <w:style w:type="character" w:customStyle="1" w:styleId="CommentTextChar">
    <w:name w:val="Comment Text Char"/>
    <w:basedOn w:val="DefaultParagraphFont"/>
    <w:link w:val="CommentText"/>
    <w:uiPriority w:val="99"/>
    <w:rsid w:val="006D396C"/>
    <w:rPr>
      <w:sz w:val="20"/>
      <w:szCs w:val="20"/>
    </w:rPr>
  </w:style>
  <w:style w:type="character" w:customStyle="1" w:styleId="fontstyle01">
    <w:name w:val="fontstyle01"/>
    <w:basedOn w:val="DefaultParagraphFont"/>
    <w:rsid w:val="006D396C"/>
    <w:rPr>
      <w:rFonts w:ascii="Calibri" w:hAnsi="Calibri" w:hint="default"/>
      <w:b w:val="0"/>
      <w:bCs w:val="0"/>
      <w:i w:val="0"/>
      <w:iCs w:val="0"/>
      <w:color w:val="000000"/>
      <w:sz w:val="24"/>
      <w:szCs w:val="24"/>
    </w:rPr>
  </w:style>
  <w:style w:type="paragraph" w:styleId="ListParagraph">
    <w:name w:val="List Paragraph"/>
    <w:basedOn w:val="Normal"/>
    <w:uiPriority w:val="34"/>
    <w:qFormat/>
    <w:rsid w:val="00E13F26"/>
    <w:pPr>
      <w:ind w:left="720"/>
      <w:contextualSpacing/>
    </w:pPr>
  </w:style>
  <w:style w:type="character" w:styleId="Hyperlink">
    <w:name w:val="Hyperlink"/>
    <w:basedOn w:val="DefaultParagraphFont"/>
    <w:uiPriority w:val="99"/>
    <w:unhideWhenUsed/>
    <w:rsid w:val="00310881"/>
    <w:rPr>
      <w:color w:val="0000FF"/>
      <w:u w:val="single"/>
    </w:rPr>
  </w:style>
  <w:style w:type="character" w:styleId="FootnoteReference">
    <w:name w:val="footnote reference"/>
    <w:basedOn w:val="DefaultParagraphFont"/>
    <w:uiPriority w:val="99"/>
    <w:semiHidden/>
    <w:unhideWhenUsed/>
    <w:rsid w:val="00AC019A"/>
    <w:rPr>
      <w:vertAlign w:val="superscript"/>
    </w:rPr>
  </w:style>
  <w:style w:type="paragraph" w:customStyle="1" w:styleId="Default">
    <w:name w:val="Default"/>
    <w:rsid w:val="00AC019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C1B98"/>
    <w:rPr>
      <w:b/>
      <w:bCs/>
    </w:rPr>
  </w:style>
  <w:style w:type="character" w:customStyle="1" w:styleId="CommentSubjectChar">
    <w:name w:val="Comment Subject Char"/>
    <w:basedOn w:val="CommentTextChar"/>
    <w:link w:val="CommentSubject"/>
    <w:uiPriority w:val="99"/>
    <w:semiHidden/>
    <w:rsid w:val="005C1B98"/>
    <w:rPr>
      <w:b/>
      <w:bCs/>
      <w:sz w:val="20"/>
      <w:szCs w:val="20"/>
    </w:rPr>
  </w:style>
  <w:style w:type="paragraph" w:styleId="Revision">
    <w:name w:val="Revision"/>
    <w:hidden/>
    <w:uiPriority w:val="99"/>
    <w:semiHidden/>
    <w:rsid w:val="00E113FF"/>
    <w:pPr>
      <w:spacing w:after="0" w:line="240" w:lineRule="auto"/>
    </w:pPr>
  </w:style>
  <w:style w:type="paragraph" w:styleId="BalloonText">
    <w:name w:val="Balloon Text"/>
    <w:basedOn w:val="Normal"/>
    <w:link w:val="BalloonTextChar"/>
    <w:uiPriority w:val="99"/>
    <w:semiHidden/>
    <w:unhideWhenUsed/>
    <w:rsid w:val="000A6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840"/>
    <w:rPr>
      <w:rFonts w:ascii="Segoe UI" w:hAnsi="Segoe UI" w:cs="Segoe UI"/>
      <w:sz w:val="18"/>
      <w:szCs w:val="18"/>
    </w:rPr>
  </w:style>
  <w:style w:type="paragraph" w:styleId="BodyText">
    <w:name w:val="Body Text"/>
    <w:basedOn w:val="Normal"/>
    <w:link w:val="BodyTextChar"/>
    <w:unhideWhenUsed/>
    <w:qFormat/>
    <w:rsid w:val="008D7AF6"/>
    <w:pPr>
      <w:spacing w:after="120" w:line="276" w:lineRule="auto"/>
      <w:jc w:val="both"/>
    </w:pPr>
    <w:rPr>
      <w:rFonts w:ascii="Arial" w:hAnsi="Arial"/>
      <w:sz w:val="20"/>
    </w:rPr>
  </w:style>
  <w:style w:type="character" w:customStyle="1" w:styleId="BodyTextChar">
    <w:name w:val="Body Text Char"/>
    <w:basedOn w:val="DefaultParagraphFont"/>
    <w:link w:val="BodyText"/>
    <w:rsid w:val="008D7AF6"/>
    <w:rPr>
      <w:rFonts w:ascii="Arial" w:hAnsi="Arial"/>
      <w:sz w:val="20"/>
    </w:rPr>
  </w:style>
  <w:style w:type="paragraph" w:styleId="Header">
    <w:name w:val="header"/>
    <w:basedOn w:val="Normal"/>
    <w:link w:val="HeaderChar"/>
    <w:uiPriority w:val="99"/>
    <w:semiHidden/>
    <w:unhideWhenUsed/>
    <w:rsid w:val="001D6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CFD"/>
  </w:style>
  <w:style w:type="paragraph" w:styleId="Footer">
    <w:name w:val="footer"/>
    <w:basedOn w:val="Normal"/>
    <w:link w:val="FooterChar"/>
    <w:uiPriority w:val="99"/>
    <w:semiHidden/>
    <w:unhideWhenUsed/>
    <w:rsid w:val="001D6C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CFD"/>
  </w:style>
  <w:style w:type="character" w:styleId="UnresolvedMention">
    <w:name w:val="Unresolved Mention"/>
    <w:basedOn w:val="DefaultParagraphFont"/>
    <w:uiPriority w:val="99"/>
    <w:semiHidden/>
    <w:unhideWhenUsed/>
    <w:rsid w:val="0089409C"/>
    <w:rPr>
      <w:color w:val="605E5C"/>
      <w:shd w:val="clear" w:color="auto" w:fill="E1DFDD"/>
    </w:rPr>
  </w:style>
  <w:style w:type="paragraph" w:styleId="NormalWeb">
    <w:name w:val="Normal (Web)"/>
    <w:basedOn w:val="Normal"/>
    <w:uiPriority w:val="99"/>
    <w:semiHidden/>
    <w:unhideWhenUsed/>
    <w:rsid w:val="008D785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0643">
      <w:bodyDiv w:val="1"/>
      <w:marLeft w:val="0"/>
      <w:marRight w:val="0"/>
      <w:marTop w:val="0"/>
      <w:marBottom w:val="0"/>
      <w:divBdr>
        <w:top w:val="none" w:sz="0" w:space="0" w:color="auto"/>
        <w:left w:val="none" w:sz="0" w:space="0" w:color="auto"/>
        <w:bottom w:val="none" w:sz="0" w:space="0" w:color="auto"/>
        <w:right w:val="none" w:sz="0" w:space="0" w:color="auto"/>
      </w:divBdr>
    </w:div>
    <w:div w:id="364840343">
      <w:bodyDiv w:val="1"/>
      <w:marLeft w:val="0"/>
      <w:marRight w:val="0"/>
      <w:marTop w:val="0"/>
      <w:marBottom w:val="0"/>
      <w:divBdr>
        <w:top w:val="none" w:sz="0" w:space="0" w:color="auto"/>
        <w:left w:val="none" w:sz="0" w:space="0" w:color="auto"/>
        <w:bottom w:val="none" w:sz="0" w:space="0" w:color="auto"/>
        <w:right w:val="none" w:sz="0" w:space="0" w:color="auto"/>
      </w:divBdr>
    </w:div>
    <w:div w:id="365179866">
      <w:bodyDiv w:val="1"/>
      <w:marLeft w:val="0"/>
      <w:marRight w:val="0"/>
      <w:marTop w:val="0"/>
      <w:marBottom w:val="0"/>
      <w:divBdr>
        <w:top w:val="none" w:sz="0" w:space="0" w:color="auto"/>
        <w:left w:val="none" w:sz="0" w:space="0" w:color="auto"/>
        <w:bottom w:val="none" w:sz="0" w:space="0" w:color="auto"/>
        <w:right w:val="none" w:sz="0" w:space="0" w:color="auto"/>
      </w:divBdr>
    </w:div>
    <w:div w:id="376273362">
      <w:bodyDiv w:val="1"/>
      <w:marLeft w:val="0"/>
      <w:marRight w:val="0"/>
      <w:marTop w:val="0"/>
      <w:marBottom w:val="0"/>
      <w:divBdr>
        <w:top w:val="none" w:sz="0" w:space="0" w:color="auto"/>
        <w:left w:val="none" w:sz="0" w:space="0" w:color="auto"/>
        <w:bottom w:val="none" w:sz="0" w:space="0" w:color="auto"/>
        <w:right w:val="none" w:sz="0" w:space="0" w:color="auto"/>
      </w:divBdr>
    </w:div>
    <w:div w:id="395935709">
      <w:bodyDiv w:val="1"/>
      <w:marLeft w:val="0"/>
      <w:marRight w:val="0"/>
      <w:marTop w:val="0"/>
      <w:marBottom w:val="0"/>
      <w:divBdr>
        <w:top w:val="none" w:sz="0" w:space="0" w:color="auto"/>
        <w:left w:val="none" w:sz="0" w:space="0" w:color="auto"/>
        <w:bottom w:val="none" w:sz="0" w:space="0" w:color="auto"/>
        <w:right w:val="none" w:sz="0" w:space="0" w:color="auto"/>
      </w:divBdr>
    </w:div>
    <w:div w:id="593512360">
      <w:bodyDiv w:val="1"/>
      <w:marLeft w:val="0"/>
      <w:marRight w:val="0"/>
      <w:marTop w:val="0"/>
      <w:marBottom w:val="0"/>
      <w:divBdr>
        <w:top w:val="none" w:sz="0" w:space="0" w:color="auto"/>
        <w:left w:val="none" w:sz="0" w:space="0" w:color="auto"/>
        <w:bottom w:val="none" w:sz="0" w:space="0" w:color="auto"/>
        <w:right w:val="none" w:sz="0" w:space="0" w:color="auto"/>
      </w:divBdr>
    </w:div>
    <w:div w:id="766468467">
      <w:bodyDiv w:val="1"/>
      <w:marLeft w:val="0"/>
      <w:marRight w:val="0"/>
      <w:marTop w:val="0"/>
      <w:marBottom w:val="0"/>
      <w:divBdr>
        <w:top w:val="none" w:sz="0" w:space="0" w:color="auto"/>
        <w:left w:val="none" w:sz="0" w:space="0" w:color="auto"/>
        <w:bottom w:val="none" w:sz="0" w:space="0" w:color="auto"/>
        <w:right w:val="none" w:sz="0" w:space="0" w:color="auto"/>
      </w:divBdr>
    </w:div>
    <w:div w:id="993336450">
      <w:bodyDiv w:val="1"/>
      <w:marLeft w:val="0"/>
      <w:marRight w:val="0"/>
      <w:marTop w:val="0"/>
      <w:marBottom w:val="0"/>
      <w:divBdr>
        <w:top w:val="none" w:sz="0" w:space="0" w:color="auto"/>
        <w:left w:val="none" w:sz="0" w:space="0" w:color="auto"/>
        <w:bottom w:val="none" w:sz="0" w:space="0" w:color="auto"/>
        <w:right w:val="none" w:sz="0" w:space="0" w:color="auto"/>
      </w:divBdr>
    </w:div>
    <w:div w:id="1059787871">
      <w:bodyDiv w:val="1"/>
      <w:marLeft w:val="0"/>
      <w:marRight w:val="0"/>
      <w:marTop w:val="0"/>
      <w:marBottom w:val="0"/>
      <w:divBdr>
        <w:top w:val="none" w:sz="0" w:space="0" w:color="auto"/>
        <w:left w:val="none" w:sz="0" w:space="0" w:color="auto"/>
        <w:bottom w:val="none" w:sz="0" w:space="0" w:color="auto"/>
        <w:right w:val="none" w:sz="0" w:space="0" w:color="auto"/>
      </w:divBdr>
    </w:div>
    <w:div w:id="1128551410">
      <w:bodyDiv w:val="1"/>
      <w:marLeft w:val="0"/>
      <w:marRight w:val="0"/>
      <w:marTop w:val="0"/>
      <w:marBottom w:val="0"/>
      <w:divBdr>
        <w:top w:val="none" w:sz="0" w:space="0" w:color="auto"/>
        <w:left w:val="none" w:sz="0" w:space="0" w:color="auto"/>
        <w:bottom w:val="none" w:sz="0" w:space="0" w:color="auto"/>
        <w:right w:val="none" w:sz="0" w:space="0" w:color="auto"/>
      </w:divBdr>
    </w:div>
    <w:div w:id="1265842704">
      <w:bodyDiv w:val="1"/>
      <w:marLeft w:val="0"/>
      <w:marRight w:val="0"/>
      <w:marTop w:val="0"/>
      <w:marBottom w:val="0"/>
      <w:divBdr>
        <w:top w:val="none" w:sz="0" w:space="0" w:color="auto"/>
        <w:left w:val="none" w:sz="0" w:space="0" w:color="auto"/>
        <w:bottom w:val="none" w:sz="0" w:space="0" w:color="auto"/>
        <w:right w:val="none" w:sz="0" w:space="0" w:color="auto"/>
      </w:divBdr>
    </w:div>
    <w:div w:id="1331519168">
      <w:bodyDiv w:val="1"/>
      <w:marLeft w:val="0"/>
      <w:marRight w:val="0"/>
      <w:marTop w:val="0"/>
      <w:marBottom w:val="0"/>
      <w:divBdr>
        <w:top w:val="none" w:sz="0" w:space="0" w:color="auto"/>
        <w:left w:val="none" w:sz="0" w:space="0" w:color="auto"/>
        <w:bottom w:val="none" w:sz="0" w:space="0" w:color="auto"/>
        <w:right w:val="none" w:sz="0" w:space="0" w:color="auto"/>
      </w:divBdr>
    </w:div>
    <w:div w:id="1367556899">
      <w:bodyDiv w:val="1"/>
      <w:marLeft w:val="0"/>
      <w:marRight w:val="0"/>
      <w:marTop w:val="0"/>
      <w:marBottom w:val="0"/>
      <w:divBdr>
        <w:top w:val="none" w:sz="0" w:space="0" w:color="auto"/>
        <w:left w:val="none" w:sz="0" w:space="0" w:color="auto"/>
        <w:bottom w:val="none" w:sz="0" w:space="0" w:color="auto"/>
        <w:right w:val="none" w:sz="0" w:space="0" w:color="auto"/>
      </w:divBdr>
    </w:div>
    <w:div w:id="1413548234">
      <w:bodyDiv w:val="1"/>
      <w:marLeft w:val="0"/>
      <w:marRight w:val="0"/>
      <w:marTop w:val="0"/>
      <w:marBottom w:val="0"/>
      <w:divBdr>
        <w:top w:val="none" w:sz="0" w:space="0" w:color="auto"/>
        <w:left w:val="none" w:sz="0" w:space="0" w:color="auto"/>
        <w:bottom w:val="none" w:sz="0" w:space="0" w:color="auto"/>
        <w:right w:val="none" w:sz="0" w:space="0" w:color="auto"/>
      </w:divBdr>
    </w:div>
    <w:div w:id="1436096811">
      <w:bodyDiv w:val="1"/>
      <w:marLeft w:val="0"/>
      <w:marRight w:val="0"/>
      <w:marTop w:val="0"/>
      <w:marBottom w:val="0"/>
      <w:divBdr>
        <w:top w:val="none" w:sz="0" w:space="0" w:color="auto"/>
        <w:left w:val="none" w:sz="0" w:space="0" w:color="auto"/>
        <w:bottom w:val="none" w:sz="0" w:space="0" w:color="auto"/>
        <w:right w:val="none" w:sz="0" w:space="0" w:color="auto"/>
      </w:divBdr>
    </w:div>
    <w:div w:id="1712075572">
      <w:bodyDiv w:val="1"/>
      <w:marLeft w:val="0"/>
      <w:marRight w:val="0"/>
      <w:marTop w:val="0"/>
      <w:marBottom w:val="0"/>
      <w:divBdr>
        <w:top w:val="none" w:sz="0" w:space="0" w:color="auto"/>
        <w:left w:val="none" w:sz="0" w:space="0" w:color="auto"/>
        <w:bottom w:val="none" w:sz="0" w:space="0" w:color="auto"/>
        <w:right w:val="none" w:sz="0" w:space="0" w:color="auto"/>
      </w:divBdr>
    </w:div>
    <w:div w:id="1716470618">
      <w:bodyDiv w:val="1"/>
      <w:marLeft w:val="0"/>
      <w:marRight w:val="0"/>
      <w:marTop w:val="0"/>
      <w:marBottom w:val="0"/>
      <w:divBdr>
        <w:top w:val="none" w:sz="0" w:space="0" w:color="auto"/>
        <w:left w:val="none" w:sz="0" w:space="0" w:color="auto"/>
        <w:bottom w:val="none" w:sz="0" w:space="0" w:color="auto"/>
        <w:right w:val="none" w:sz="0" w:space="0" w:color="auto"/>
      </w:divBdr>
    </w:div>
    <w:div w:id="1810053607">
      <w:bodyDiv w:val="1"/>
      <w:marLeft w:val="0"/>
      <w:marRight w:val="0"/>
      <w:marTop w:val="0"/>
      <w:marBottom w:val="0"/>
      <w:divBdr>
        <w:top w:val="none" w:sz="0" w:space="0" w:color="auto"/>
        <w:left w:val="none" w:sz="0" w:space="0" w:color="auto"/>
        <w:bottom w:val="none" w:sz="0" w:space="0" w:color="auto"/>
        <w:right w:val="none" w:sz="0" w:space="0" w:color="auto"/>
      </w:divBdr>
    </w:div>
    <w:div w:id="2041930248">
      <w:bodyDiv w:val="1"/>
      <w:marLeft w:val="0"/>
      <w:marRight w:val="0"/>
      <w:marTop w:val="0"/>
      <w:marBottom w:val="0"/>
      <w:divBdr>
        <w:top w:val="none" w:sz="0" w:space="0" w:color="auto"/>
        <w:left w:val="none" w:sz="0" w:space="0" w:color="auto"/>
        <w:bottom w:val="none" w:sz="0" w:space="0" w:color="auto"/>
        <w:right w:val="none" w:sz="0" w:space="0" w:color="auto"/>
      </w:divBdr>
    </w:div>
    <w:div w:id="21284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7a31-83fc-4462-832c-b6ca7922df77" xsi:nil="true"/>
    <lcf76f155ced4ddcb4097134ff3c332f xmlns="010ecfe6-d3bc-4b41-bdbd-81f22fffe916">
      <Terms xmlns="http://schemas.microsoft.com/office/infopath/2007/PartnerControls"/>
    </lcf76f155ced4ddcb4097134ff3c332f>
    <_Flow_SignoffStatus xmlns="010ecfe6-d3bc-4b41-bdbd-81f22fffe9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7EF98D01C9F549A60134ACF436DCCA" ma:contentTypeVersion="16" ma:contentTypeDescription="Loo uus dokument" ma:contentTypeScope="" ma:versionID="9c62d3cd676496cd85b4d516f84d6723">
  <xsd:schema xmlns:xsd="http://www.w3.org/2001/XMLSchema" xmlns:xs="http://www.w3.org/2001/XMLSchema" xmlns:p="http://schemas.microsoft.com/office/2006/metadata/properties" xmlns:ns2="010ecfe6-d3bc-4b41-bdbd-81f22fffe916" xmlns:ns3="c4877a31-83fc-4462-832c-b6ca7922df77" targetNamespace="http://schemas.microsoft.com/office/2006/metadata/properties" ma:root="true" ma:fieldsID="e76984c8d0794000ca94712a51aa81f6" ns2:_="" ns3:_="">
    <xsd:import namespace="010ecfe6-d3bc-4b41-bdbd-81f22fffe916"/>
    <xsd:import namespace="c4877a31-83fc-4462-832c-b6ca7922df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cfe6-d3bc-4b41-bdbd-81f22fff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3b9e6b61-800c-402b-b0ce-7df860a021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Lõpetamise olek" ma:internalName="L_x00f5_petamise_x0020_ole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7a31-83fc-4462-832c-b6ca7922df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bb4d07-9573-4e29-a8b6-a35d0428caca}" ma:internalName="TaxCatchAll" ma:showField="CatchAllData" ma:web="c4877a31-83fc-4462-832c-b6ca7922df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4180-7EDC-4BD5-B049-E25700359A76}">
  <ds:schemaRefs>
    <ds:schemaRef ds:uri="http://schemas.microsoft.com/sharepoint/v3/contenttype/forms"/>
  </ds:schemaRefs>
</ds:datastoreItem>
</file>

<file path=customXml/itemProps2.xml><?xml version="1.0" encoding="utf-8"?>
<ds:datastoreItem xmlns:ds="http://schemas.openxmlformats.org/officeDocument/2006/customXml" ds:itemID="{F9922DB7-64C3-44BA-A56C-6AF8A59F255E}">
  <ds:schemaRefs>
    <ds:schemaRef ds:uri="http://schemas.microsoft.com/office/2006/metadata/properties"/>
    <ds:schemaRef ds:uri="http://schemas.microsoft.com/office/infopath/2007/PartnerControls"/>
    <ds:schemaRef ds:uri="c4877a31-83fc-4462-832c-b6ca7922df77"/>
    <ds:schemaRef ds:uri="010ecfe6-d3bc-4b41-bdbd-81f22fffe916"/>
  </ds:schemaRefs>
</ds:datastoreItem>
</file>

<file path=customXml/itemProps3.xml><?xml version="1.0" encoding="utf-8"?>
<ds:datastoreItem xmlns:ds="http://schemas.openxmlformats.org/officeDocument/2006/customXml" ds:itemID="{668E8922-08E0-40A1-8821-1EB9A2A4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cfe6-d3bc-4b41-bdbd-81f22fffe916"/>
    <ds:schemaRef ds:uri="c4877a31-83fc-4462-832c-b6ca7922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E314F-A8D1-4683-97C9-5216B5A8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2310</Words>
  <Characters>13403</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Krista Lahtvee</cp:lastModifiedBy>
  <cp:revision>5</cp:revision>
  <dcterms:created xsi:type="dcterms:W3CDTF">2024-05-28T07:44:00Z</dcterms:created>
  <dcterms:modified xsi:type="dcterms:W3CDTF">2024-05-28T07:55:00Z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0x010100ED7EF98D01C9F549A60134ACF436DCCA</vt:lpwstr>
  </property>
  <property fmtid="{D5CDD505-2E9C-101B-9397-08002B2CF9AE}" pid="3" name="MediaServiceImageTags">
    <vt:lpwstr/>
  </property>
</Properties>
</file>